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9B54">
      <w:pPr>
        <w:rPr>
          <w:rFonts w:asciiTheme="majorHAnsi" w:hAnsiTheme="majorHAnsi" w:cstheme="majorHAnsi"/>
        </w:rPr>
        <w:sectPr>
          <w:headerReference r:id="rId5" w:type="default"/>
          <w:pgSz w:w="12240" w:h="15840"/>
          <w:pgMar w:top="958" w:right="567" w:bottom="567" w:left="567" w:header="510" w:footer="709" w:gutter="0"/>
          <w:cols w:space="708" w:num="1"/>
          <w:docGrid w:linePitch="360" w:charSpace="0"/>
        </w:sect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-1645920</wp:posOffset>
            </wp:positionV>
            <wp:extent cx="7980045" cy="10460355"/>
            <wp:effectExtent l="0" t="0" r="1905" b="0"/>
            <wp:wrapNone/>
            <wp:docPr id="103222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21164" name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145" cy="1047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B68E6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</w:p>
    <w:p w14:paraId="17B4091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377825</wp:posOffset>
                </wp:positionV>
                <wp:extent cx="9723755" cy="1828800"/>
                <wp:effectExtent l="0" t="0" r="0" b="0"/>
                <wp:wrapSquare wrapText="bothSides"/>
                <wp:docPr id="812614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7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A5C90">
                            <w:pPr>
                              <w:jc w:val="center"/>
                              <w:rPr>
                                <w:rFonts w:ascii="Berlin Sans FB Demi" w:hAnsi="Berlin Sans FB Demi" w:cstheme="majorHAnsi"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rlin Sans FB Demi" w:hAnsi="Berlin Sans FB Demi" w:cstheme="majorHAnsi"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PRIMERA Y SEGUNDA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6" o:spt="202" type="#_x0000_t202" style="position:absolute;left:0pt;margin-left:-30.5pt;margin-top:29.75pt;height:144pt;width:765.6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SyMXfZAAAACwEAAA8AAAAAAAAAAQAgAAAAIgAAAGRycy9kb3ducmV2&#10;LnhtbFBLAQIUABQAAAAIAIdO4kCmoxGlNAIAAGwEAAAOAAAAAAAAAAEAIAAAACgBAABkcnMvZTJv&#10;RG9jLnhtbFBLBQYAAAAABgAGAFkBAAD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07A5C90">
                      <w:pPr>
                        <w:jc w:val="center"/>
                        <w:rPr>
                          <w:rFonts w:ascii="Berlin Sans FB Demi" w:hAnsi="Berlin Sans FB Demi" w:cstheme="majorHAnsi"/>
                          <w:bCs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rlin Sans FB Demi" w:hAnsi="Berlin Sans FB Demi" w:cstheme="majorHAnsi"/>
                          <w:bCs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PRIMERA Y SEGUNDA INSTITUCIONAL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026A9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4097F3AB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PLAN OPERATIVO</w:t>
      </w:r>
    </w:p>
    <w:p w14:paraId="206BAB88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</w:rPr>
        <w:t>OBJETIVO GENERAL: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Planificar, organizar y ejecutar las acciones institucionales correspondientes a las Semanas de Desarrollo Institucional 2026, garantizando la actualización de los procesos académicos, directivos y comunitarios, el fortalecimiento del PEI, la planeación curricular, la evaluación institucional y el cumplimiento de los lineamientos establecidos por la Secretaría de Educación Departamental.</w:t>
      </w:r>
    </w:p>
    <w:p w14:paraId="5DA054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18"/>
        <w:tblW w:w="0" w:type="auto"/>
        <w:jc w:val="center"/>
        <w:tblBorders>
          <w:top w:val="single" w:color="FFD965" w:themeColor="accent4" w:themeTint="99" w:sz="4" w:space="0"/>
          <w:left w:val="single" w:color="FFD965" w:themeColor="accent4" w:themeTint="99" w:sz="4" w:space="0"/>
          <w:bottom w:val="single" w:color="FFD965" w:themeColor="accent4" w:themeTint="99" w:sz="4" w:space="0"/>
          <w:right w:val="single" w:color="FFD965" w:themeColor="accent4" w:themeTint="99" w:sz="4" w:space="0"/>
          <w:insideH w:val="single" w:color="FFD965" w:themeColor="accent4" w:themeTint="99" w:sz="4" w:space="0"/>
          <w:insideV w:val="single" w:color="FFD965" w:themeColor="accent4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4678"/>
        <w:gridCol w:w="2693"/>
        <w:gridCol w:w="1418"/>
        <w:gridCol w:w="1580"/>
      </w:tblGrid>
      <w:tr w14:paraId="645BF4F4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1" w:type="dxa"/>
            <w:vMerge w:val="restart"/>
            <w:tcBorders>
              <w:bottom w:val="single" w:color="FFD965" w:themeColor="accent4" w:themeTint="99" w:sz="12" w:space="0"/>
              <w:insideH w:val="single" w:sz="12" w:space="0"/>
            </w:tcBorders>
            <w:textDirection w:val="btLr"/>
            <w:vAlign w:val="center"/>
          </w:tcPr>
          <w:p w14:paraId="6AC45F4A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/>
                <w:color w:val="BF9000" w:themeColor="accent4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DIRECTIVA</w:t>
            </w:r>
          </w:p>
        </w:tc>
        <w:tc>
          <w:tcPr>
            <w:tcW w:w="2126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0A88966B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ASUNTO</w:t>
            </w:r>
          </w:p>
        </w:tc>
        <w:tc>
          <w:tcPr>
            <w:tcW w:w="4678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34FF3601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ACTIVIDADES</w:t>
            </w:r>
          </w:p>
        </w:tc>
        <w:tc>
          <w:tcPr>
            <w:tcW w:w="2693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3DC78181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RECURSOS</w:t>
            </w:r>
          </w:p>
        </w:tc>
        <w:tc>
          <w:tcPr>
            <w:tcW w:w="1418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29C01419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FECHA DE EJECUCIÓN</w:t>
            </w:r>
          </w:p>
        </w:tc>
        <w:tc>
          <w:tcPr>
            <w:tcW w:w="1580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48CFBB94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RESPONSABLE</w:t>
            </w:r>
          </w:p>
        </w:tc>
      </w:tr>
      <w:tr w14:paraId="23BC60D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36D12CD4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11B181F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Socialización de la Circular 267 y orientaciones para el año lectivo 2026.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61D44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Organizar la reunión institucional para socializar los lineamientos, el cronograma y las responsabilidades, con el fin de garantizar la comprensión de las actividades a desarrollar durante el año lectivo y asegurar una adecuada organización del trabajo institucional.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26AE7E2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  <w:r>
              <w:rPr>
                <w:rFonts w:asciiTheme="majorHAnsi" w:hAnsiTheme="majorHAnsi" w:cstheme="majorHAnsi"/>
                <w:color w:val="auto"/>
              </w:rPr>
              <w:br w:type="textWrapping"/>
            </w:r>
            <w:r>
              <w:rPr>
                <w:rFonts w:asciiTheme="majorHAnsi" w:hAnsiTheme="majorHAnsi" w:cstheme="majorHAnsi"/>
                <w:color w:val="auto"/>
              </w:rPr>
              <w:t>(computador, video beam, documentos institucionales)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0F29569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05/01/2026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3FEA89F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</w:t>
            </w:r>
          </w:p>
        </w:tc>
      </w:tr>
      <w:tr w14:paraId="19FE610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0CDAE45B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447733E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Autoevaluación Institucional</w:t>
            </w:r>
          </w:p>
        </w:tc>
        <w:tc>
          <w:tcPr>
            <w:tcW w:w="4678" w:type="dxa"/>
            <w:vAlign w:val="center"/>
          </w:tcPr>
          <w:p w14:paraId="2C0EE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Diligenciar la autoevaluación institucional vigencia 2025, analizar los resultados y cargar en la plataforma Enjambre.</w:t>
            </w:r>
          </w:p>
        </w:tc>
        <w:tc>
          <w:tcPr>
            <w:tcW w:w="2693" w:type="dxa"/>
            <w:vAlign w:val="center"/>
          </w:tcPr>
          <w:p w14:paraId="5364CB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</w:tcPr>
          <w:p w14:paraId="5CEA419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21E450AC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  <w:p w14:paraId="4EF79D2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06/01/2026</w:t>
            </w:r>
          </w:p>
        </w:tc>
        <w:tc>
          <w:tcPr>
            <w:tcW w:w="1580" w:type="dxa"/>
            <w:vAlign w:val="center"/>
          </w:tcPr>
          <w:p w14:paraId="0C5452E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de la IER</w:t>
            </w:r>
          </w:p>
        </w:tc>
      </w:tr>
      <w:tr w14:paraId="018C0E0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4EDD5150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1B85490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Eficiencia Interna</w:t>
            </w:r>
          </w:p>
          <w:p w14:paraId="634E3DC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678" w:type="dxa"/>
            <w:shd w:val="clear" w:color="auto" w:fill="FEF2CC" w:themeFill="accent4" w:themeFillTint="33"/>
            <w:vAlign w:val="center"/>
          </w:tcPr>
          <w:p w14:paraId="4BA58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Revisar y diligenciar el formato de eficiencia interna correspondiente al año 2025 y cargar en la plataforma.</w:t>
            </w:r>
          </w:p>
          <w:p w14:paraId="287E5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118BE46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(Formato, computador, video beam)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3EC53B8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2F8864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07/01/2026</w:t>
            </w:r>
          </w:p>
          <w:p w14:paraId="1E7CF72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</w:p>
          <w:p w14:paraId="3B216AF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0C10F4C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de la IER</w:t>
            </w:r>
          </w:p>
        </w:tc>
      </w:tr>
      <w:tr w14:paraId="7BA44F88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7501F24F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66B9B88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Sistema Institucional de Evaluación – SIEE</w:t>
            </w:r>
          </w:p>
        </w:tc>
        <w:tc>
          <w:tcPr>
            <w:tcW w:w="4678" w:type="dxa"/>
            <w:vAlign w:val="center"/>
          </w:tcPr>
          <w:p w14:paraId="7DE8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Revisar y ajustar el Sistema Institucional de Evaluación de los Estudiantes, teniendo en cuenta los resultados académicos del año 2025 y las necesidades del contexto institucional.</w:t>
            </w:r>
          </w:p>
        </w:tc>
        <w:tc>
          <w:tcPr>
            <w:tcW w:w="2693" w:type="dxa"/>
            <w:vAlign w:val="center"/>
          </w:tcPr>
          <w:p w14:paraId="535FC57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vAlign w:val="center"/>
          </w:tcPr>
          <w:p w14:paraId="1C267E7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07/01/2026</w:t>
            </w:r>
          </w:p>
        </w:tc>
        <w:tc>
          <w:tcPr>
            <w:tcW w:w="1580" w:type="dxa"/>
            <w:vAlign w:val="center"/>
          </w:tcPr>
          <w:p w14:paraId="0BCE12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Consejo Académico y Directivo</w:t>
            </w:r>
          </w:p>
        </w:tc>
      </w:tr>
      <w:tr w14:paraId="19016102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698C0000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3AE8F9E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Rendición de Cuentas</w:t>
            </w:r>
          </w:p>
        </w:tc>
        <w:tc>
          <w:tcPr>
            <w:tcW w:w="4678" w:type="dxa"/>
            <w:shd w:val="clear" w:color="auto" w:fill="FEF2CC" w:themeFill="accent4" w:themeFillTint="33"/>
            <w:vAlign w:val="center"/>
          </w:tcPr>
          <w:p w14:paraId="16C82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Planear y organizar la rendición de cuentas institucional correspondiente a la vigencia 2025, como ejercicio de transparencia y participación de la comunidad educativa.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179D5AE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Humanos y Físicos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(informes de gastos, actas, video beam y computador).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0AB48B9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07/01/2026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4B5BBA2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</w:t>
            </w:r>
          </w:p>
        </w:tc>
      </w:tr>
      <w:tr w14:paraId="73469C97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64F34059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62F8802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Evaluación de Desempeño</w:t>
            </w:r>
          </w:p>
        </w:tc>
        <w:tc>
          <w:tcPr>
            <w:tcW w:w="4678" w:type="dxa"/>
            <w:vAlign w:val="center"/>
          </w:tcPr>
          <w:p w14:paraId="7258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Socializar con los docentes la normativa vigente y los lineamientos institucionales sobre la evaluación de desempeño, con el fin de garantizar la comprensión de los criterios, instrumentos y responsabilidades del proceso, fortaleciendo la transparencia y la mejora continua institucional</w:t>
            </w:r>
          </w:p>
        </w:tc>
        <w:tc>
          <w:tcPr>
            <w:tcW w:w="2693" w:type="dxa"/>
            <w:vAlign w:val="center"/>
          </w:tcPr>
          <w:p w14:paraId="431F362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Humanos y Físicos (formatos de evaluación, actas y computador.)</w:t>
            </w:r>
          </w:p>
        </w:tc>
        <w:tc>
          <w:tcPr>
            <w:tcW w:w="1418" w:type="dxa"/>
            <w:vAlign w:val="center"/>
          </w:tcPr>
          <w:p w14:paraId="1F6C87C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</w:t>
            </w: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8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vAlign w:val="center"/>
          </w:tcPr>
          <w:p w14:paraId="21A287F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Rector, Docentes de la IER</w:t>
            </w:r>
          </w:p>
        </w:tc>
      </w:tr>
      <w:tr w14:paraId="19AEA44D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71" w:type="dxa"/>
            <w:vMerge w:val="restart"/>
            <w:shd w:val="clear" w:color="auto" w:fill="FEF2CC" w:themeFill="accent4" w:themeFillTint="33"/>
            <w:textDirection w:val="btLr"/>
            <w:vAlign w:val="center"/>
          </w:tcPr>
          <w:p w14:paraId="76F23DD8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 w:val="0"/>
                <w:bCs/>
                <w:color w:val="auto"/>
                <w:sz w:val="28"/>
                <w:szCs w:val="28"/>
              </w:rPr>
            </w:pPr>
          </w:p>
          <w:p w14:paraId="463B8460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ACADÉMICA</w:t>
            </w: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745228E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Planeación Curricular 2026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0EF8BB9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Realizar seguimiento a los planes de área y planeaciones pedagógicas, procurando su coherencia con el PEI y los lineamientos curriculares vigentes.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7741E31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(Video Beam, computadores)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35B151D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</w:t>
            </w: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8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6E9D0AA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4057E52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271" w:type="dxa"/>
            <w:vMerge w:val="continue"/>
            <w:textDirection w:val="btLr"/>
            <w:vAlign w:val="center"/>
          </w:tcPr>
          <w:p w14:paraId="5BE1ECB9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  <w:bookmarkStart w:id="0" w:name="_Hlk161429430"/>
          </w:p>
          <w:bookmarkEnd w:id="0"/>
        </w:tc>
        <w:tc>
          <w:tcPr>
            <w:tcW w:w="2126" w:type="dxa"/>
            <w:vAlign w:val="center"/>
          </w:tcPr>
          <w:p w14:paraId="05434B6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  <w:p w14:paraId="01AF775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Proyectos Pedagógicos Transversales.</w:t>
            </w:r>
          </w:p>
          <w:p w14:paraId="438334A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</w:tc>
        <w:tc>
          <w:tcPr>
            <w:tcW w:w="4678" w:type="dxa"/>
          </w:tcPr>
          <w:p w14:paraId="1B87CCE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Analizar, ajustar y planificar los proyectos pedagógicos transversales, promoviendo su articulación con las áreas del conocimiento y su aplicación al contexto escolar.</w:t>
            </w:r>
            <w:r>
              <w:rPr>
                <w:rFonts w:asciiTheme="majorHAnsi" w:hAnsiTheme="majorHAnsi" w:cstheme="majorHAnsi"/>
                <w:color w:val="auto"/>
              </w:rPr>
              <w:tab/>
            </w:r>
          </w:p>
        </w:tc>
        <w:tc>
          <w:tcPr>
            <w:tcW w:w="2693" w:type="dxa"/>
            <w:vAlign w:val="center"/>
          </w:tcPr>
          <w:p w14:paraId="43CC896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Humanos y Físicos </w:t>
            </w:r>
          </w:p>
          <w:p w14:paraId="18C09D00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3053B54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0</w:t>
            </w: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9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vAlign w:val="center"/>
          </w:tcPr>
          <w:p w14:paraId="165E726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1612064A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06FF268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057580E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Centros de interés (PTA)</w:t>
            </w:r>
          </w:p>
          <w:p w14:paraId="07DDF2E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4678" w:type="dxa"/>
            <w:shd w:val="clear" w:color="auto" w:fill="FEF2CC" w:themeFill="accent4" w:themeFillTint="33"/>
          </w:tcPr>
          <w:p w14:paraId="68BD8154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Articular el Programa Todos a Aprender (PTA) y los centros de interés con el PEI, los planes de área y los proyectos pedagógicos, fortaleciendo las prácticas en el aula de clase.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491770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(Video Beam, internet, computadores)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234F109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12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2B3B1E9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Tutor del PTA</w:t>
            </w:r>
          </w:p>
        </w:tc>
      </w:tr>
      <w:tr w14:paraId="766B7170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restart"/>
            <w:textDirection w:val="btLr"/>
            <w:vAlign w:val="center"/>
          </w:tcPr>
          <w:p w14:paraId="4C880086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COMUNITARIA</w:t>
            </w:r>
          </w:p>
        </w:tc>
        <w:tc>
          <w:tcPr>
            <w:tcW w:w="2126" w:type="dxa"/>
            <w:vAlign w:val="center"/>
          </w:tcPr>
          <w:p w14:paraId="1889050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Comité de Convivencia Escolar</w:t>
            </w:r>
          </w:p>
        </w:tc>
        <w:tc>
          <w:tcPr>
            <w:tcW w:w="4678" w:type="dxa"/>
          </w:tcPr>
          <w:p w14:paraId="5B918F30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Analizar las situaciones de convivencia escolar presentadas durante el año lectivo 2025 y evaluar la pertinencia del Manual de Convivencia, para ajustar y actualizar sus disposiciones desde un enfoque pedagógico y restaurativo, mediante la implementación y el seguimiento de las acciones lideradas por el Comité de Convivencia Escolar.</w:t>
            </w:r>
          </w:p>
          <w:p w14:paraId="7A2F1B7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7C3EC90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(manual de convivencia, computador, video beam)</w:t>
            </w:r>
          </w:p>
        </w:tc>
        <w:tc>
          <w:tcPr>
            <w:tcW w:w="1418" w:type="dxa"/>
            <w:vAlign w:val="center"/>
          </w:tcPr>
          <w:p w14:paraId="0FB2EEF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13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vAlign w:val="center"/>
          </w:tcPr>
          <w:p w14:paraId="5E86DA2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Comité de Convivencia Escolar</w:t>
            </w:r>
          </w:p>
        </w:tc>
      </w:tr>
      <w:tr w14:paraId="26ECF30E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shd w:val="clear" w:color="auto" w:fill="FEF2CC" w:themeFill="accent4" w:themeFillTint="33"/>
          </w:tcPr>
          <w:p w14:paraId="12EBD824">
            <w:p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7CCF99B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Programa de Alimentación Escolar (PAE)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4348197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Socializar los lineamientos del Programa de Alimentación Escolar (PAE), promoviendo el diálogo y la articulación con la comunidad educativa para definir responsabilidades y garantizar la adecuada prestación del servicio durante el año lectivo 2026.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4006590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Humanos y Físicos 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4E92371C">
            <w:pPr>
              <w:spacing w:after="0" w:line="240" w:lineRule="auto"/>
              <w:jc w:val="center"/>
              <w:rPr>
                <w:rFonts w:hint="default" w:asciiTheme="majorHAnsi" w:hAnsiTheme="majorHAnsi" w:cstheme="majorHAnsi"/>
                <w:color w:val="auto"/>
                <w:lang w:val="es-ES"/>
              </w:rPr>
            </w:pP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14</w:t>
            </w:r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5A5917A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5C1AFB7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tcBorders>
              <w:top w:val="nil"/>
              <w:bottom w:val="nil"/>
            </w:tcBorders>
          </w:tcPr>
          <w:p w14:paraId="6B3518F4">
            <w:p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6F0B43AC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Gobierno Escolar</w:t>
            </w:r>
          </w:p>
        </w:tc>
        <w:tc>
          <w:tcPr>
            <w:tcW w:w="4678" w:type="dxa"/>
          </w:tcPr>
          <w:p w14:paraId="1E30013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Planear, organizar y orientar el proceso de conformación del Gobierno Escolar, definiendo el cronograma y las estrategias de participación de los diferentes estamentos de la comunidad educativa, y acompañando a los estudiantes de los grados 10° y 11° en la comprensión, participación y elección del personero y contralor estudiantil.</w:t>
            </w:r>
          </w:p>
        </w:tc>
        <w:tc>
          <w:tcPr>
            <w:tcW w:w="2693" w:type="dxa"/>
            <w:vAlign w:val="center"/>
          </w:tcPr>
          <w:p w14:paraId="32AB6BD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(documentos institucionales, normativa del Gobierno Escolar, computador, material impreso o digital).</w:t>
            </w:r>
          </w:p>
        </w:tc>
        <w:tc>
          <w:tcPr>
            <w:tcW w:w="1418" w:type="dxa"/>
            <w:vAlign w:val="center"/>
          </w:tcPr>
          <w:p w14:paraId="75547D7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hint="default" w:asciiTheme="majorHAnsi" w:hAnsiTheme="majorHAnsi" w:cstheme="majorHAnsi"/>
                <w:color w:val="auto"/>
                <w:lang w:val="es-ES"/>
              </w:rPr>
              <w:t>15</w:t>
            </w:r>
            <w:bookmarkStart w:id="1" w:name="_GoBack"/>
            <w:bookmarkEnd w:id="1"/>
            <w:r>
              <w:rPr>
                <w:rFonts w:asciiTheme="majorHAnsi" w:hAnsiTheme="majorHAnsi" w:cstheme="majorHAnsi"/>
                <w:color w:val="auto"/>
              </w:rPr>
              <w:t>/01/2026</w:t>
            </w:r>
          </w:p>
        </w:tc>
        <w:tc>
          <w:tcPr>
            <w:tcW w:w="1580" w:type="dxa"/>
            <w:vAlign w:val="center"/>
          </w:tcPr>
          <w:p w14:paraId="455EACE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IER</w:t>
            </w:r>
          </w:p>
        </w:tc>
      </w:tr>
      <w:tr w14:paraId="4A877F28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tcBorders>
              <w:top w:val="nil"/>
            </w:tcBorders>
            <w:shd w:val="clear" w:color="auto" w:fill="FEF2CC" w:themeFill="accent4" w:themeFillTint="33"/>
          </w:tcPr>
          <w:p w14:paraId="122D17BD">
            <w:p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66F4608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Sistema de Información Unificado de Convivencia Escolar (SIUCE)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48284E6C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Revisar, actualizar y organizar la información institucional en el Sistema de Información Unificado de Convivencia Escolar (SIUCE), fortaleciendo el seguimiento de las situaciones de convivencia y la articulación con el Comité de Convivencia Escolar para el adecuado desarrollo del año lectivo 2026.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4D55593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(computador, conexión a internet, plataforma SIUCE, Manual de Convivencia y actas institucionales)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5E4CF7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07/01/2026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49C5F65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Rector, Docentes IER</w:t>
            </w:r>
          </w:p>
        </w:tc>
      </w:tr>
    </w:tbl>
    <w:p w14:paraId="4B25F36D">
      <w:pPr>
        <w:rPr>
          <w:rFonts w:asciiTheme="majorHAnsi" w:hAnsiTheme="majorHAnsi" w:cstheme="majorHAnsi"/>
        </w:rPr>
      </w:pPr>
    </w:p>
    <w:p w14:paraId="09F88AE5">
      <w:pPr>
        <w:rPr>
          <w:rFonts w:asciiTheme="majorHAnsi" w:hAnsiTheme="majorHAnsi" w:cstheme="majorHAnsi"/>
        </w:rPr>
      </w:pPr>
    </w:p>
    <w:p w14:paraId="1EF5350E">
      <w:pPr>
        <w:rPr>
          <w:rFonts w:asciiTheme="majorHAnsi" w:hAnsiTheme="majorHAnsi" w:cstheme="majorHAnsi"/>
        </w:rPr>
      </w:pPr>
    </w:p>
    <w:p w14:paraId="400126F6">
      <w:pPr>
        <w:rPr>
          <w:rFonts w:asciiTheme="majorHAnsi" w:hAnsiTheme="majorHAnsi" w:cstheme="majorHAnsi"/>
        </w:rPr>
      </w:pPr>
    </w:p>
    <w:p w14:paraId="07409326">
      <w:pPr>
        <w:rPr>
          <w:rFonts w:asciiTheme="majorHAnsi" w:hAnsiTheme="majorHAnsi" w:cstheme="majorHAnsi"/>
        </w:rPr>
      </w:pPr>
    </w:p>
    <w:p w14:paraId="5359BBDF">
      <w:pPr>
        <w:rPr>
          <w:rFonts w:asciiTheme="majorHAnsi" w:hAnsiTheme="majorHAnsi" w:cstheme="majorHAnsi"/>
        </w:rPr>
      </w:pPr>
    </w:p>
    <w:p w14:paraId="34893427">
      <w:pPr>
        <w:rPr>
          <w:rFonts w:asciiTheme="majorHAnsi" w:hAnsiTheme="majorHAnsi" w:cstheme="majorHAnsi"/>
        </w:rPr>
      </w:pPr>
    </w:p>
    <w:p w14:paraId="0EA2835A">
      <w:pPr>
        <w:rPr>
          <w:rFonts w:asciiTheme="majorHAnsi" w:hAnsiTheme="majorHAnsi" w:cstheme="majorHAnsi"/>
        </w:rPr>
      </w:pPr>
    </w:p>
    <w:p w14:paraId="0B95DC9B">
      <w:pPr>
        <w:rPr>
          <w:rFonts w:asciiTheme="majorHAnsi" w:hAnsiTheme="majorHAnsi" w:cstheme="majorHAnsi"/>
        </w:rPr>
      </w:pPr>
    </w:p>
    <w:p w14:paraId="0F3CCFAC">
      <w:pPr>
        <w:rPr>
          <w:rFonts w:asciiTheme="majorHAnsi" w:hAnsiTheme="majorHAnsi" w:cstheme="majorHAnsi"/>
        </w:rPr>
      </w:pPr>
    </w:p>
    <w:p w14:paraId="2AF7B727">
      <w:pPr>
        <w:rPr>
          <w:rFonts w:asciiTheme="majorHAnsi" w:hAnsiTheme="majorHAnsi" w:cstheme="majorHAnsi"/>
        </w:rPr>
      </w:pPr>
    </w:p>
    <w:p w14:paraId="7C3A1973">
      <w:pPr>
        <w:rPr>
          <w:rFonts w:asciiTheme="majorHAnsi" w:hAnsiTheme="majorHAnsi" w:cstheme="majorHAnsi"/>
        </w:rPr>
      </w:pPr>
    </w:p>
    <w:p w14:paraId="5BEF3927">
      <w:pPr>
        <w:jc w:val="center"/>
        <w:rPr>
          <w:rFonts w:ascii="Berlin Sans FB Demi" w:hAnsi="Berlin Sans FB Demi" w:cstheme="majorHAnsi"/>
          <w:bCs/>
          <w:color w:val="000000" w:themeColor="text1"/>
          <w:sz w:val="160"/>
          <w:szCs w:val="16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 w14:paraId="0370680F">
      <w:pPr>
        <w:jc w:val="center"/>
        <w:rPr>
          <w:rFonts w:asciiTheme="majorHAnsi" w:hAnsiTheme="majorHAnsi" w:cstheme="majorHAnsi"/>
        </w:rPr>
      </w:pPr>
      <w:r>
        <w:rPr>
          <w:rFonts w:ascii="Berlin Sans FB Demi" w:hAnsi="Berlin Sans FB Demi" w:cstheme="majorHAnsi"/>
          <w:bCs/>
          <w:color w:val="000000" w:themeColor="text1"/>
          <w:sz w:val="160"/>
          <w:szCs w:val="16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TERCERA S</w:t>
      </w:r>
      <w:r>
        <w:rPr>
          <w:rFonts w:ascii="Berlin Sans FB Demi" w:hAnsi="Berlin Sans FB Demi" w:cstheme="majorHAnsi"/>
          <w:bCs/>
          <w:color w:val="000000" w:themeColor="text1"/>
          <w:sz w:val="160"/>
          <w:szCs w:val="1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EMANA INSTITUCIONALE</w:t>
      </w:r>
    </w:p>
    <w:p w14:paraId="0A54C797">
      <w:pPr>
        <w:rPr>
          <w:rFonts w:asciiTheme="majorHAnsi" w:hAnsiTheme="majorHAnsi" w:cstheme="majorHAnsi"/>
        </w:rPr>
      </w:pPr>
    </w:p>
    <w:p w14:paraId="7179B1E9">
      <w:pPr>
        <w:rPr>
          <w:rFonts w:asciiTheme="majorHAnsi" w:hAnsiTheme="majorHAnsi" w:cstheme="majorHAnsi"/>
        </w:rPr>
      </w:pPr>
    </w:p>
    <w:p w14:paraId="64AB317A">
      <w:pPr>
        <w:rPr>
          <w:rFonts w:asciiTheme="majorHAnsi" w:hAnsiTheme="majorHAnsi" w:cstheme="majorHAnsi"/>
        </w:rPr>
      </w:pPr>
    </w:p>
    <w:p w14:paraId="1695FCA6">
      <w:pPr>
        <w:rPr>
          <w:rFonts w:asciiTheme="majorHAnsi" w:hAnsiTheme="majorHAnsi" w:cstheme="majorHAnsi"/>
        </w:rPr>
      </w:pPr>
    </w:p>
    <w:p w14:paraId="130A324A">
      <w:pPr>
        <w:rPr>
          <w:rFonts w:asciiTheme="majorHAnsi" w:hAnsiTheme="majorHAnsi" w:cstheme="majorHAnsi"/>
        </w:rPr>
      </w:pPr>
    </w:p>
    <w:p w14:paraId="7A7F8E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</w:t>
      </w:r>
    </w:p>
    <w:tbl>
      <w:tblPr>
        <w:tblStyle w:val="18"/>
        <w:tblW w:w="0" w:type="auto"/>
        <w:jc w:val="center"/>
        <w:tblBorders>
          <w:top w:val="single" w:color="FFD965" w:themeColor="accent4" w:themeTint="99" w:sz="4" w:space="0"/>
          <w:left w:val="single" w:color="FFD965" w:themeColor="accent4" w:themeTint="99" w:sz="4" w:space="0"/>
          <w:bottom w:val="single" w:color="FFD965" w:themeColor="accent4" w:themeTint="99" w:sz="4" w:space="0"/>
          <w:right w:val="single" w:color="FFD965" w:themeColor="accent4" w:themeTint="99" w:sz="4" w:space="0"/>
          <w:insideH w:val="single" w:color="FFD965" w:themeColor="accent4" w:themeTint="99" w:sz="4" w:space="0"/>
          <w:insideV w:val="single" w:color="FFD965" w:themeColor="accent4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4678"/>
        <w:gridCol w:w="2693"/>
        <w:gridCol w:w="1418"/>
        <w:gridCol w:w="1580"/>
      </w:tblGrid>
      <w:tr w14:paraId="04CAF77C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1" w:type="dxa"/>
            <w:vMerge w:val="restart"/>
            <w:tcBorders>
              <w:bottom w:val="single" w:color="FFD965" w:themeColor="accent4" w:themeTint="99" w:sz="12" w:space="0"/>
              <w:insideH w:val="single" w:sz="12" w:space="0"/>
            </w:tcBorders>
            <w:textDirection w:val="btLr"/>
            <w:vAlign w:val="center"/>
          </w:tcPr>
          <w:p w14:paraId="0A896524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/>
                <w:color w:val="BF9000" w:themeColor="accent4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DIRECTIVA</w:t>
            </w:r>
          </w:p>
        </w:tc>
        <w:tc>
          <w:tcPr>
            <w:tcW w:w="2126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53F9DDEF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ASUNTO</w:t>
            </w:r>
          </w:p>
        </w:tc>
        <w:tc>
          <w:tcPr>
            <w:tcW w:w="4678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33C3FB15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ACTIVIDADES</w:t>
            </w:r>
          </w:p>
        </w:tc>
        <w:tc>
          <w:tcPr>
            <w:tcW w:w="2693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008425A1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RECURSOS</w:t>
            </w:r>
          </w:p>
        </w:tc>
        <w:tc>
          <w:tcPr>
            <w:tcW w:w="1418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68A45286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FECHA DE EJECUCIÓN</w:t>
            </w:r>
          </w:p>
        </w:tc>
        <w:tc>
          <w:tcPr>
            <w:tcW w:w="1580" w:type="dxa"/>
            <w:tcBorders>
              <w:bottom w:val="single" w:color="FFD965" w:themeColor="accent4" w:themeTint="99" w:sz="12" w:space="0"/>
              <w:insideH w:val="single" w:sz="12" w:space="0"/>
            </w:tcBorders>
            <w:vAlign w:val="center"/>
          </w:tcPr>
          <w:p w14:paraId="02FED200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</w:rPr>
              <w:t>RESPONSABLE</w:t>
            </w:r>
          </w:p>
        </w:tc>
      </w:tr>
      <w:tr w14:paraId="7E13D175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79850D56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005DA3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b/>
                <w:bCs/>
                <w:color w:val="auto"/>
              </w:rPr>
              <w:t>Socialización de la Circular 0031 de 2026 y organización institucional.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23528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Se realizará un espacio de encuentro institucional para socializar de manera clara y participativa la Circular 0031 de 2026, explicando sus orientaciones, propósitos y alcances. Durante esta jornada se organizará el cronograma de trabajo de la semana, se distribuirán responsabilidades y se aclararán dudas, buscando que todos los integrantes de la comunidad educativa comprendan su papel y se comprometan con el desarrollo adecuado de las actividades.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30B2E2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(computador, video beam, documentos institucionales, actas)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59B26D1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7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2D10F1A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</w:t>
            </w:r>
          </w:p>
        </w:tc>
      </w:tr>
      <w:tr w14:paraId="6A117F5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59577960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0BD84C1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Evaluación de desempeño docente</w:t>
            </w:r>
          </w:p>
        </w:tc>
        <w:tc>
          <w:tcPr>
            <w:tcW w:w="4678" w:type="dxa"/>
            <w:vAlign w:val="center"/>
          </w:tcPr>
          <w:p w14:paraId="03EBD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llevará a cabo el proceso de evaluación de desempeño docente como un ejercicio reflexivo y formativo. A partir de la Guía 31 del MEN, se revisarán las competencias funcionales y comportamentales, definiendo las contribuciones individuales y los criterios de evaluación. Este espacio permitirá analizar la práctica pedagógica, identificar fortalezas y reconocer aspectos por mejorar, promoviendo el crecimiento profesional.</w:t>
            </w:r>
          </w:p>
        </w:tc>
        <w:tc>
          <w:tcPr>
            <w:tcW w:w="2693" w:type="dxa"/>
            <w:vAlign w:val="center"/>
          </w:tcPr>
          <w:p w14:paraId="0AA24A1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(formatos, computador, actas)</w:t>
            </w:r>
          </w:p>
        </w:tc>
        <w:tc>
          <w:tcPr>
            <w:tcW w:w="1418" w:type="dxa"/>
          </w:tcPr>
          <w:p w14:paraId="2F80AAE1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  <w:p w14:paraId="7FEAF6AC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  <w:p w14:paraId="2B1081CE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  <w:p w14:paraId="354022E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7 de marzo 2026</w:t>
            </w:r>
          </w:p>
          <w:p w14:paraId="67025E7D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80" w:type="dxa"/>
            <w:vAlign w:val="center"/>
          </w:tcPr>
          <w:p w14:paraId="60EFC97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de la IER</w:t>
            </w:r>
          </w:p>
        </w:tc>
      </w:tr>
      <w:tr w14:paraId="61B362B2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3C4F695A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2BC2C60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Organización y fortalecimiento del Gobierno Escolar.</w:t>
            </w:r>
          </w:p>
        </w:tc>
        <w:tc>
          <w:tcPr>
            <w:tcW w:w="4678" w:type="dxa"/>
            <w:shd w:val="clear" w:color="auto" w:fill="FEF2CC" w:themeFill="accent4" w:themeFillTint="33"/>
            <w:vAlign w:val="center"/>
          </w:tcPr>
          <w:p w14:paraId="0D06E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orientará el proceso de organización del Gobierno Escolar, promoviendo la participación activa de estudiantes, docentes y comunidad. Se definirá el cronograma de elecciones, se explicarán los roles de cada estamento y se motivará la participación democrática como parte fundamental de la vida institucional.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5E05A10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(normativa, documentos institucionales, computador)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19001544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  <w:p w14:paraId="33D0E74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7 de marzo 2026</w:t>
            </w:r>
          </w:p>
          <w:p w14:paraId="70447DE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0E9E15B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de la IER</w:t>
            </w:r>
          </w:p>
        </w:tc>
      </w:tr>
      <w:tr w14:paraId="20F94522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39DE2B5E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1B3293C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Revisión del SIEE y seguimiento a la convivencia escolar (SIUCE)</w:t>
            </w:r>
          </w:p>
        </w:tc>
        <w:tc>
          <w:tcPr>
            <w:tcW w:w="4678" w:type="dxa"/>
            <w:vAlign w:val="center"/>
          </w:tcPr>
          <w:p w14:paraId="7E5C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realizará un análisis del Sistema Institucional de Evaluación para revisar cómo se están valorando los aprendizajes de los estudiantes y proponer ajustes que fortalezcan una evaluación más formativa y acorde al contexto rural. De igual manera, se actualizará y organizará la información relacionada con la convivencia escolar en el sistema SIUCE, facilitando el seguimiento de los casos y apoyando la toma de decisiones institucionales.</w:t>
            </w:r>
          </w:p>
        </w:tc>
        <w:tc>
          <w:tcPr>
            <w:tcW w:w="2693" w:type="dxa"/>
            <w:vAlign w:val="center"/>
          </w:tcPr>
          <w:p w14:paraId="3575138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vAlign w:val="center"/>
          </w:tcPr>
          <w:p w14:paraId="677ABB9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7 de marzo 2026</w:t>
            </w:r>
          </w:p>
        </w:tc>
        <w:tc>
          <w:tcPr>
            <w:tcW w:w="1580" w:type="dxa"/>
            <w:vAlign w:val="center"/>
          </w:tcPr>
          <w:p w14:paraId="6A7B8DB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Consejo Académico  Directivo Psicorientador</w:t>
            </w:r>
          </w:p>
        </w:tc>
      </w:tr>
      <w:tr w14:paraId="1A44322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shd w:val="clear" w:color="auto" w:fill="FEF2CC" w:themeFill="accent4" w:themeFillTint="33"/>
          </w:tcPr>
          <w:p w14:paraId="15DDE90B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7D420D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Revisión y actualización del PEI</w:t>
            </w:r>
          </w:p>
        </w:tc>
        <w:tc>
          <w:tcPr>
            <w:tcW w:w="4678" w:type="dxa"/>
            <w:shd w:val="clear" w:color="auto" w:fill="FEF2CC" w:themeFill="accent4" w:themeFillTint="33"/>
            <w:vAlign w:val="center"/>
          </w:tcPr>
          <w:p w14:paraId="6A10D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abrirá un espacio de diálogo para revisar el Proyecto Educativo Institucional, analizando si responde a las necesidades actuales de la institución. Se propondrán ajustes que permitan hacerlo más pertinente, especialmente en relación con el contexto rural y los procesos formativos de los estudiantes.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245B3CC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(PEI, computador, actas)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5B3804E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7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0F21AF0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Rector y consejo académico </w:t>
            </w:r>
          </w:p>
        </w:tc>
      </w:tr>
      <w:tr w14:paraId="2EC7FE93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</w:tcPr>
          <w:p w14:paraId="4543D143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55BFD6C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Seguimiento y organización de evidencias</w:t>
            </w:r>
          </w:p>
        </w:tc>
        <w:tc>
          <w:tcPr>
            <w:tcW w:w="4678" w:type="dxa"/>
            <w:vAlign w:val="center"/>
          </w:tcPr>
          <w:p w14:paraId="3BA03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Durante el desarrollo de la semana se realizará seguimiento a cada una de las actividades, recogiendo evidencias como actas, registros y productos de trabajo. Esto permitirá valorar los avances logrados y dejar insumos claros para la mejora continua institucional.</w:t>
            </w:r>
          </w:p>
        </w:tc>
        <w:tc>
          <w:tcPr>
            <w:tcW w:w="2693" w:type="dxa"/>
            <w:vAlign w:val="center"/>
          </w:tcPr>
          <w:p w14:paraId="0CD1C5C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vAlign w:val="center"/>
          </w:tcPr>
          <w:p w14:paraId="669DC0B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14 de marzo 2026</w:t>
            </w:r>
          </w:p>
        </w:tc>
        <w:tc>
          <w:tcPr>
            <w:tcW w:w="1580" w:type="dxa"/>
            <w:vAlign w:val="center"/>
          </w:tcPr>
          <w:p w14:paraId="4CF6AFE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color w:val="auto"/>
              </w:rPr>
              <w:t>Rector, Docentes de la IER</w:t>
            </w:r>
          </w:p>
        </w:tc>
      </w:tr>
      <w:tr w14:paraId="78F65AA4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</w:tcPr>
          <w:p w14:paraId="5B110242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3690761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Definición de la ruta de mejoramiento institucional (PMI)</w:t>
            </w:r>
          </w:p>
        </w:tc>
        <w:tc>
          <w:tcPr>
            <w:tcW w:w="4678" w:type="dxa"/>
            <w:shd w:val="clear" w:color="auto" w:fill="FEF2CC" w:themeFill="accent4" w:themeFillTint="33"/>
            <w:vAlign w:val="center"/>
          </w:tcPr>
          <w:p w14:paraId="5F0F4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Se construirá de manera participativa la ruta de mejoramiento institucional a partir del análisis de la evaluación institucional, el desempeño docente y los aprendizajes de los estudiantes, identificando fortalezas y necesidades. A partir de ello, se definirán acciones de mejora con compromisos claros, viables y acordes al contexto rural, orientados al fortalecimiento pedagógico, la convivencia y el acompañamiento a los estudiantes.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6753697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(informes institucionales, actas, computador, documentos de evaluación)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0602A60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14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2EA7DDD7">
            <w:pPr>
              <w:spacing w:after="0" w:line="240" w:lineRule="auto"/>
              <w:jc w:val="center"/>
              <w:rPr>
                <w:color w:val="BF9000" w:themeColor="accent4" w:themeShade="BF"/>
              </w:rPr>
            </w:pPr>
            <w:r>
              <w:rPr>
                <w:color w:val="auto"/>
              </w:rPr>
              <w:t>Rector, Docentes de la IER</w:t>
            </w:r>
          </w:p>
        </w:tc>
      </w:tr>
      <w:tr w14:paraId="328F2A91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71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97E2152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 w:val="0"/>
                <w:bCs/>
                <w:color w:val="auto"/>
                <w:sz w:val="28"/>
                <w:szCs w:val="28"/>
              </w:rPr>
            </w:pPr>
          </w:p>
          <w:p w14:paraId="06D1316A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ACADÉMICA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61753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Fortalecimiento de estrategias pedagógicas y evaluación formativa</w:t>
            </w:r>
          </w:p>
        </w:tc>
        <w:tc>
          <w:tcPr>
            <w:tcW w:w="4678" w:type="dxa"/>
            <w:shd w:val="clear" w:color="auto" w:fill="FFFFFF" w:themeFill="background1"/>
          </w:tcPr>
          <w:p w14:paraId="0FD9AFCC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Los docentes diseñarán y ajustarán estrategias pedagógicas que favorezcan un aprendizaje activo y significativo, fortaleciendo procesos de lectura, escritura y expresión. Se trabajará en la construcción de instrumentos de evaluación formativa como rúbricas y actividades cualitativas que permitan valorar el avance de los estudiantes más allá de lo cuantitativo.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39D42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(material pedagógico, computadores)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8D2B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14 de marzo 2026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8D5F11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0D753ECD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271" w:type="dxa"/>
            <w:vMerge w:val="continue"/>
            <w:shd w:val="clear" w:color="auto" w:fill="FFFFFF" w:themeFill="background1"/>
            <w:textDirection w:val="btLr"/>
            <w:vAlign w:val="center"/>
          </w:tcPr>
          <w:p w14:paraId="3960D864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535A346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Ajustes a la planeación curricular y flexibilización</w:t>
            </w:r>
          </w:p>
          <w:p w14:paraId="6DE8613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</w:tc>
        <w:tc>
          <w:tcPr>
            <w:tcW w:w="4678" w:type="dxa"/>
            <w:shd w:val="clear" w:color="auto" w:fill="FEF2CC" w:themeFill="accent4" w:themeFillTint="33"/>
          </w:tcPr>
          <w:p w14:paraId="06E794B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revisarán los planes de área y las planeaciones pedagógicas, incorporando estrategias de flexibilización curricular que respondan a las características del contexto rural. Se buscará que las actividades propuestas sean pertinentes, aplicables y coherentes con las necesidades de los estudiantes.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7D4005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  <w:p w14:paraId="1C2DFF00">
            <w:pPr>
              <w:spacing w:after="0" w:line="240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2B9C65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14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29ED3E2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54661A1A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vMerge w:val="continue"/>
            <w:shd w:val="clear" w:color="auto" w:fill="FFFFFF" w:themeFill="background1"/>
          </w:tcPr>
          <w:p w14:paraId="65F6E48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1A7B7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auto"/>
              </w:rPr>
            </w:pPr>
          </w:p>
          <w:p w14:paraId="5D69E13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Centros de interés y articulación pedagógica</w:t>
            </w:r>
          </w:p>
        </w:tc>
        <w:tc>
          <w:tcPr>
            <w:tcW w:w="4678" w:type="dxa"/>
            <w:shd w:val="clear" w:color="auto" w:fill="FFFFFF" w:themeFill="background1"/>
          </w:tcPr>
          <w:p w14:paraId="41F2B90D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fortalecerán los Centros de Interés como estrategia pedagógica integradora, articulando las diferentes áreas del conocimiento. Se promoverá el aprendizaje desde experiencias significativas, especialmente a través del cuerpo y el movimiento, favoreciendo el desarrollo integral de los estudiantes.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B2040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(material didáctico, computador)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519EB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14 de marzo 2026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D42BD5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Tutor del PTA</w:t>
            </w:r>
          </w:p>
        </w:tc>
      </w:tr>
      <w:tr w14:paraId="11151CEF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shd w:val="clear" w:color="auto" w:fill="FFFFFF" w:themeFill="background1"/>
          </w:tcPr>
          <w:p w14:paraId="0DFAF14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6F0681E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Seguimiento a los aprendizajes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67B1C68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Se definirán estrategias para hacer seguimiento a los aprendizajes de los estudiantes, identificando avances, dificultades y acciones de apoyo. Este proceso se articulará con el Consejo Académico y las comisiones de evaluación.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2A1A9DA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5A201E9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1D423C6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609BDC9D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shd w:val="clear" w:color="auto" w:fill="FFFFFF" w:themeFill="background1"/>
          </w:tcPr>
          <w:p w14:paraId="4698D81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A7D7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Fortalecimiento y formación docente</w:t>
            </w:r>
          </w:p>
        </w:tc>
        <w:tc>
          <w:tcPr>
            <w:tcW w:w="4678" w:type="dxa"/>
            <w:shd w:val="clear" w:color="auto" w:fill="FFFFFF" w:themeFill="background1"/>
          </w:tcPr>
          <w:p w14:paraId="570565B0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propiciarán espacios de diálogo y actualización pedagógica donde los docentes puedan intercambiar experiencias, reflexionar sobre su práctica y fortalecer sus estrategias de enseñanza. Estas acciones estarán orientadas a mejorar el trabajo en el aula, promoviendo metodologías más activas, procesos de evaluación formativa y una enseñanza más acorde con las necesidades del contexto rural.</w:t>
            </w:r>
          </w:p>
          <w:p w14:paraId="71FF88D2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330CA9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(material pedagógico, computador, documentos de apoyo)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D9B94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8A5EDA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</w:t>
            </w:r>
          </w:p>
        </w:tc>
      </w:tr>
      <w:tr w14:paraId="2232E8BA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shd w:val="clear" w:color="auto" w:fill="FFFFFF" w:themeFill="background1"/>
          </w:tcPr>
          <w:p w14:paraId="5C22AE5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3986373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Actualización y organización de carpetas institucionales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6D01E28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realizará la revisión, actualización y organización de las carpetas institucionales, verificando que la información esté completa y acorde a los lineamientos vigentes, consolidando evidencias académicas, administrativas y de convivencia. Asimismo, se efectuará el cargue de la información en la plataforma Enjambre, garantizando su registro y disponibilidad para el seguimiento institucional.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7C5BED7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(carpetas, documentos institucionales, computador, internet)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6DB1F6D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5F56DB9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de la IER</w:t>
            </w:r>
          </w:p>
        </w:tc>
      </w:tr>
      <w:tr w14:paraId="3FF092E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restart"/>
            <w:textDirection w:val="btLr"/>
            <w:vAlign w:val="center"/>
          </w:tcPr>
          <w:p w14:paraId="6C04486F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  <w:r>
              <w:rPr>
                <w:rFonts w:asciiTheme="majorHAnsi" w:hAnsiTheme="majorHAnsi" w:cstheme="majorHAnsi"/>
                <w:b/>
                <w:bCs w:val="0"/>
                <w:color w:val="auto"/>
                <w:sz w:val="28"/>
                <w:szCs w:val="28"/>
              </w:rPr>
              <w:t>GESTIÓN COMUNITARIA</w:t>
            </w:r>
          </w:p>
        </w:tc>
        <w:tc>
          <w:tcPr>
            <w:tcW w:w="2126" w:type="dxa"/>
            <w:vAlign w:val="center"/>
          </w:tcPr>
          <w:p w14:paraId="7B5BC73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Prevención de violencias y fortalecimiento de la convivencia</w:t>
            </w:r>
          </w:p>
        </w:tc>
        <w:tc>
          <w:tcPr>
            <w:tcW w:w="4678" w:type="dxa"/>
          </w:tcPr>
          <w:p w14:paraId="3F0DE8A0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elaborará y fortalecerá el plan de prevención de violencias escolares, integrando acciones relacionadas con la educación en derechos humanos, la educación sexual y el manejo adecuado de conflictos, promoviendo ambientes escolares seguros y respetuosos.</w:t>
            </w:r>
          </w:p>
        </w:tc>
        <w:tc>
          <w:tcPr>
            <w:tcW w:w="2693" w:type="dxa"/>
            <w:vAlign w:val="center"/>
          </w:tcPr>
          <w:p w14:paraId="13A2291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 (manual de convivencia, computador)</w:t>
            </w:r>
          </w:p>
        </w:tc>
        <w:tc>
          <w:tcPr>
            <w:tcW w:w="1418" w:type="dxa"/>
            <w:vAlign w:val="center"/>
          </w:tcPr>
          <w:p w14:paraId="4F0EAD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vAlign w:val="center"/>
          </w:tcPr>
          <w:p w14:paraId="012D3FA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Comité de Convivencia Escolar y Psicorientador</w:t>
            </w:r>
          </w:p>
        </w:tc>
      </w:tr>
      <w:tr w14:paraId="078C0CE9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shd w:val="clear" w:color="auto" w:fill="FEF2CC" w:themeFill="accent4" w:themeFillTint="33"/>
          </w:tcPr>
          <w:p w14:paraId="0B40BDEE">
            <w:p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shd w:val="clear" w:color="auto" w:fill="FEF2CC" w:themeFill="accent4" w:themeFillTint="33"/>
            <w:vAlign w:val="center"/>
          </w:tcPr>
          <w:p w14:paraId="4DC304C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Acompañamiento socioemocional</w:t>
            </w:r>
          </w:p>
        </w:tc>
        <w:tc>
          <w:tcPr>
            <w:tcW w:w="4678" w:type="dxa"/>
            <w:shd w:val="clear" w:color="auto" w:fill="FEF2CC" w:themeFill="accent4" w:themeFillTint="33"/>
          </w:tcPr>
          <w:p w14:paraId="4D9A9A9C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diseñarán estrategias para brindar apoyo socioemocional a los estudiantes y sus familias, promoviendo el bienestar, la motivación y la permanencia escolar, reconociendo la importancia del acompañamiento integral en el proceso educativo.</w:t>
            </w:r>
          </w:p>
        </w:tc>
        <w:tc>
          <w:tcPr>
            <w:tcW w:w="2693" w:type="dxa"/>
            <w:shd w:val="clear" w:color="auto" w:fill="FEF2CC" w:themeFill="accent4" w:themeFillTint="33"/>
            <w:vAlign w:val="center"/>
          </w:tcPr>
          <w:p w14:paraId="3F2A307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shd w:val="clear" w:color="auto" w:fill="FEF2CC" w:themeFill="accent4" w:themeFillTint="33"/>
            <w:vAlign w:val="center"/>
          </w:tcPr>
          <w:p w14:paraId="5092C86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shd w:val="clear" w:color="auto" w:fill="FEF2CC" w:themeFill="accent4" w:themeFillTint="33"/>
            <w:vAlign w:val="center"/>
          </w:tcPr>
          <w:p w14:paraId="2A1F22F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Docentes IER y Psicorientador</w:t>
            </w:r>
          </w:p>
        </w:tc>
      </w:tr>
      <w:tr w14:paraId="7D9952E4">
        <w:tblPrEx>
          <w:tblBorders>
            <w:top w:val="single" w:color="FFD965" w:themeColor="accent4" w:themeTint="99" w:sz="4" w:space="0"/>
            <w:left w:val="single" w:color="FFD965" w:themeColor="accent4" w:themeTint="99" w:sz="4" w:space="0"/>
            <w:bottom w:val="single" w:color="FFD965" w:themeColor="accent4" w:themeTint="99" w:sz="4" w:space="0"/>
            <w:right w:val="single" w:color="FFD965" w:themeColor="accent4" w:themeTint="99" w:sz="4" w:space="0"/>
            <w:insideH w:val="single" w:color="FFD965" w:themeColor="accent4" w:themeTint="99" w:sz="4" w:space="0"/>
            <w:insideV w:val="single" w:color="FFD965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1" w:type="dxa"/>
            <w:vMerge w:val="continue"/>
            <w:tcBorders>
              <w:top w:val="nil"/>
              <w:bottom w:val="nil"/>
            </w:tcBorders>
          </w:tcPr>
          <w:p w14:paraId="22D7F135">
            <w:pPr>
              <w:spacing w:after="0" w:line="240" w:lineRule="auto"/>
              <w:rPr>
                <w:rFonts w:asciiTheme="majorHAnsi" w:hAnsiTheme="majorHAnsi" w:cstheme="majorHAnsi"/>
                <w:b w:val="0"/>
                <w:bCs w:val="0"/>
                <w:color w:val="BF9000" w:themeColor="accent4" w:themeShade="BF"/>
              </w:rPr>
            </w:pPr>
          </w:p>
        </w:tc>
        <w:tc>
          <w:tcPr>
            <w:tcW w:w="2126" w:type="dxa"/>
            <w:vAlign w:val="center"/>
          </w:tcPr>
          <w:p w14:paraId="514D38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>Participación comunitaria y Gobierno Escolar</w:t>
            </w:r>
          </w:p>
        </w:tc>
        <w:tc>
          <w:tcPr>
            <w:tcW w:w="4678" w:type="dxa"/>
          </w:tcPr>
          <w:p w14:paraId="1A76993A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Se promoverá la participación de la comunidad educativa en los procesos del Gobierno Escolar, fortaleciendo el liderazgo estudiantil y la construcción de una cultura democrática dentro de la institución.</w:t>
            </w:r>
          </w:p>
        </w:tc>
        <w:tc>
          <w:tcPr>
            <w:tcW w:w="2693" w:type="dxa"/>
            <w:vAlign w:val="center"/>
          </w:tcPr>
          <w:p w14:paraId="52E10E1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Humanos y físicos</w:t>
            </w:r>
          </w:p>
        </w:tc>
        <w:tc>
          <w:tcPr>
            <w:tcW w:w="1418" w:type="dxa"/>
            <w:vAlign w:val="center"/>
          </w:tcPr>
          <w:p w14:paraId="1EE5DE1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21 de marzo 2026</w:t>
            </w:r>
          </w:p>
        </w:tc>
        <w:tc>
          <w:tcPr>
            <w:tcW w:w="1580" w:type="dxa"/>
            <w:vAlign w:val="center"/>
          </w:tcPr>
          <w:p w14:paraId="73862DD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Rector, Docentes IER</w:t>
            </w:r>
          </w:p>
        </w:tc>
      </w:tr>
    </w:tbl>
    <w:p w14:paraId="09380D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5840" w:h="12240" w:orient="landscape"/>
      <w:pgMar w:top="567" w:right="567" w:bottom="567" w:left="956" w:header="51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Cuerp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C59F">
    <w:pPr>
      <w:pStyle w:val="4"/>
      <w:jc w:val="center"/>
      <w:rPr>
        <w:rFonts w:asciiTheme="majorHAnsi" w:hAnsiTheme="majorHAnsi" w:cstheme="majorHAnsi"/>
        <w:b/>
        <w:iCs/>
        <w:sz w:val="24"/>
        <w:szCs w:val="24"/>
      </w:rPr>
    </w:pPr>
    <w:r>
      <w:rPr>
        <w:rFonts w:asciiTheme="majorHAnsi" w:hAnsiTheme="majorHAnsi" w:cstheme="majorHAnsi"/>
        <w:b/>
        <w:iCs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7412355</wp:posOffset>
          </wp:positionH>
          <wp:positionV relativeFrom="paragraph">
            <wp:posOffset>0</wp:posOffset>
          </wp:positionV>
          <wp:extent cx="1131570" cy="1104900"/>
          <wp:effectExtent l="0" t="0" r="0" b="0"/>
          <wp:wrapNone/>
          <wp:docPr id="5079047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04744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861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b/>
        <w:i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811530</wp:posOffset>
          </wp:positionH>
          <wp:positionV relativeFrom="paragraph">
            <wp:posOffset>0</wp:posOffset>
          </wp:positionV>
          <wp:extent cx="1085850" cy="1100455"/>
          <wp:effectExtent l="0" t="0" r="0" b="4445"/>
          <wp:wrapNone/>
          <wp:docPr id="1481441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441412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00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b/>
        <w:iCs/>
        <w:sz w:val="24"/>
        <w:szCs w:val="24"/>
      </w:rPr>
      <w:t>REPÚBLICA DE COLOMBIA</w:t>
    </w:r>
  </w:p>
  <w:p w14:paraId="0C7C1A0A">
    <w:pPr>
      <w:pStyle w:val="4"/>
      <w:jc w:val="center"/>
      <w:rPr>
        <w:rFonts w:asciiTheme="majorHAnsi" w:hAnsiTheme="majorHAnsi" w:cstheme="majorHAnsi"/>
        <w:b/>
        <w:iCs/>
        <w:sz w:val="24"/>
        <w:szCs w:val="24"/>
      </w:rPr>
    </w:pPr>
    <w:r>
      <w:rPr>
        <w:rFonts w:asciiTheme="majorHAnsi" w:hAnsiTheme="majorHAnsi" w:cstheme="majorHAnsi"/>
        <w:b/>
        <w:iCs/>
        <w:sz w:val="24"/>
        <w:szCs w:val="24"/>
      </w:rPr>
      <w:t>DEPARTAMENTO DE NORTE DE SANTANDER</w:t>
    </w:r>
  </w:p>
  <w:p w14:paraId="0FFFAABC">
    <w:pPr>
      <w:pStyle w:val="4"/>
      <w:jc w:val="center"/>
      <w:rPr>
        <w:rFonts w:asciiTheme="majorHAnsi" w:hAnsiTheme="majorHAnsi" w:cstheme="majorHAnsi"/>
        <w:b/>
        <w:iCs/>
        <w:sz w:val="24"/>
        <w:szCs w:val="24"/>
      </w:rPr>
    </w:pPr>
    <w:r>
      <w:rPr>
        <w:rFonts w:asciiTheme="majorHAnsi" w:hAnsiTheme="majorHAnsi" w:cstheme="majorHAnsi"/>
        <w:b/>
        <w:iCs/>
        <w:sz w:val="24"/>
        <w:szCs w:val="24"/>
      </w:rPr>
      <w:t>INSTITUCIÓN EDUCATIVA RURAL LEÓN XIII</w:t>
    </w:r>
  </w:p>
  <w:p w14:paraId="5E45A223">
    <w:pPr>
      <w:pStyle w:val="4"/>
      <w:jc w:val="center"/>
      <w:rPr>
        <w:rFonts w:asciiTheme="majorHAnsi" w:hAnsiTheme="majorHAnsi" w:cstheme="majorHAnsi"/>
        <w:b/>
        <w:iCs/>
        <w:sz w:val="24"/>
        <w:szCs w:val="24"/>
      </w:rPr>
    </w:pPr>
    <w:r>
      <w:rPr>
        <w:rFonts w:asciiTheme="majorHAnsi" w:hAnsiTheme="majorHAnsi" w:cstheme="majorHAnsi"/>
        <w:b/>
        <w:iCs/>
        <w:sz w:val="24"/>
        <w:szCs w:val="24"/>
      </w:rPr>
      <w:t>MUNICIPIO LA ESPERANZA</w:t>
    </w:r>
  </w:p>
  <w:p w14:paraId="3069FDFB">
    <w:pPr>
      <w:pStyle w:val="4"/>
      <w:jc w:val="center"/>
      <w:rPr>
        <w:rFonts w:asciiTheme="majorHAnsi" w:hAnsiTheme="majorHAnsi" w:cstheme="majorHAnsi"/>
        <w:bCs/>
        <w:i/>
      </w:rPr>
    </w:pPr>
    <w:r>
      <w:rPr>
        <w:rFonts w:asciiTheme="majorHAnsi" w:hAnsiTheme="majorHAnsi" w:cstheme="majorHAnsi"/>
        <w:bCs/>
        <w:i/>
      </w:rPr>
      <w:t>Creado mediante Decreto Nº 252 abril 12 2005</w:t>
    </w:r>
  </w:p>
  <w:p w14:paraId="6D415F7F">
    <w:pPr>
      <w:pStyle w:val="4"/>
      <w:jc w:val="center"/>
      <w:rPr>
        <w:rFonts w:asciiTheme="majorHAnsi" w:hAnsiTheme="majorHAnsi" w:cstheme="majorHAnsi"/>
        <w:bCs/>
        <w:i/>
      </w:rPr>
    </w:pPr>
    <w:r>
      <w:rPr>
        <w:rFonts w:asciiTheme="majorHAnsi" w:hAnsiTheme="majorHAnsi" w:cstheme="majorHAnsi"/>
        <w:bCs/>
        <w:i/>
      </w:rPr>
      <w:t>Aprobado Mediante Resolución Nº 007076 noviembre 10 de 2023</w:t>
    </w:r>
  </w:p>
  <w:p w14:paraId="7FF978C1">
    <w:pPr>
      <w:pStyle w:val="4"/>
      <w:jc w:val="center"/>
      <w:rPr>
        <w:rFonts w:asciiTheme="majorHAnsi" w:hAnsiTheme="majorHAnsi" w:cstheme="majorHAnsi"/>
        <w:b/>
        <w:bCs/>
        <w:iCs/>
      </w:rPr>
    </w:pPr>
    <w:r>
      <w:rPr>
        <w:rFonts w:asciiTheme="majorHAnsi" w:hAnsiTheme="majorHAnsi" w:cstheme="majorHAnsi"/>
        <w:b/>
        <w:bCs/>
        <w:iCs/>
      </w:rPr>
      <w:t>DANE: 254385000130                  NIT: 900203333-4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20069"/>
    <w:multiLevelType w:val="multilevel"/>
    <w:tmpl w:val="7562006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Book Antiqua" w:hAnsi="Book Antiqu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5E"/>
    <w:rsid w:val="0000734B"/>
    <w:rsid w:val="00014619"/>
    <w:rsid w:val="00020C15"/>
    <w:rsid w:val="00023697"/>
    <w:rsid w:val="00024A6F"/>
    <w:rsid w:val="00034D16"/>
    <w:rsid w:val="000421D5"/>
    <w:rsid w:val="00045677"/>
    <w:rsid w:val="00056EEA"/>
    <w:rsid w:val="00060995"/>
    <w:rsid w:val="00070D6D"/>
    <w:rsid w:val="00086411"/>
    <w:rsid w:val="00090019"/>
    <w:rsid w:val="00094483"/>
    <w:rsid w:val="000975F8"/>
    <w:rsid w:val="000A7C61"/>
    <w:rsid w:val="000B5873"/>
    <w:rsid w:val="000C388A"/>
    <w:rsid w:val="000C40B0"/>
    <w:rsid w:val="000C795A"/>
    <w:rsid w:val="000D0983"/>
    <w:rsid w:val="000D1E6C"/>
    <w:rsid w:val="000D662F"/>
    <w:rsid w:val="000E1A3A"/>
    <w:rsid w:val="000E34B3"/>
    <w:rsid w:val="000E61FC"/>
    <w:rsid w:val="000F0BF1"/>
    <w:rsid w:val="000F731E"/>
    <w:rsid w:val="000F7C5C"/>
    <w:rsid w:val="00104364"/>
    <w:rsid w:val="0012658C"/>
    <w:rsid w:val="0015174F"/>
    <w:rsid w:val="00155140"/>
    <w:rsid w:val="00160CE1"/>
    <w:rsid w:val="00164BC7"/>
    <w:rsid w:val="00172CE1"/>
    <w:rsid w:val="001736DB"/>
    <w:rsid w:val="00173CA2"/>
    <w:rsid w:val="0017782E"/>
    <w:rsid w:val="00180580"/>
    <w:rsid w:val="001878F5"/>
    <w:rsid w:val="001A3562"/>
    <w:rsid w:val="001A3BA0"/>
    <w:rsid w:val="001A675E"/>
    <w:rsid w:val="001A6B1D"/>
    <w:rsid w:val="001B40EE"/>
    <w:rsid w:val="001C2607"/>
    <w:rsid w:val="001C2F52"/>
    <w:rsid w:val="001C3513"/>
    <w:rsid w:val="001C4E24"/>
    <w:rsid w:val="001E07C3"/>
    <w:rsid w:val="001F09BE"/>
    <w:rsid w:val="00203AC8"/>
    <w:rsid w:val="002203C1"/>
    <w:rsid w:val="00243B5A"/>
    <w:rsid w:val="00244669"/>
    <w:rsid w:val="00245D17"/>
    <w:rsid w:val="00252CC8"/>
    <w:rsid w:val="00254411"/>
    <w:rsid w:val="00256CAB"/>
    <w:rsid w:val="00257141"/>
    <w:rsid w:val="00261DB4"/>
    <w:rsid w:val="00263DAC"/>
    <w:rsid w:val="00267A7B"/>
    <w:rsid w:val="00280B7A"/>
    <w:rsid w:val="00285C41"/>
    <w:rsid w:val="002B029D"/>
    <w:rsid w:val="002B3739"/>
    <w:rsid w:val="002C08F5"/>
    <w:rsid w:val="002C7343"/>
    <w:rsid w:val="002D4ACC"/>
    <w:rsid w:val="002D6F60"/>
    <w:rsid w:val="002E59C6"/>
    <w:rsid w:val="002E6BF5"/>
    <w:rsid w:val="002E72E8"/>
    <w:rsid w:val="002F21C4"/>
    <w:rsid w:val="002F76E4"/>
    <w:rsid w:val="00310A44"/>
    <w:rsid w:val="0031318B"/>
    <w:rsid w:val="00313CEC"/>
    <w:rsid w:val="00320BE7"/>
    <w:rsid w:val="00331222"/>
    <w:rsid w:val="0033150C"/>
    <w:rsid w:val="00331753"/>
    <w:rsid w:val="003470A3"/>
    <w:rsid w:val="00360150"/>
    <w:rsid w:val="0036422D"/>
    <w:rsid w:val="003645CF"/>
    <w:rsid w:val="003649AD"/>
    <w:rsid w:val="003716C9"/>
    <w:rsid w:val="003744AF"/>
    <w:rsid w:val="00380558"/>
    <w:rsid w:val="003831B9"/>
    <w:rsid w:val="00383A75"/>
    <w:rsid w:val="0039431E"/>
    <w:rsid w:val="00395020"/>
    <w:rsid w:val="00395852"/>
    <w:rsid w:val="003B0C13"/>
    <w:rsid w:val="003B2952"/>
    <w:rsid w:val="003D0674"/>
    <w:rsid w:val="003D2BB7"/>
    <w:rsid w:val="003D6CB3"/>
    <w:rsid w:val="003E5931"/>
    <w:rsid w:val="003F2A9B"/>
    <w:rsid w:val="003F71A2"/>
    <w:rsid w:val="00400C06"/>
    <w:rsid w:val="00406A99"/>
    <w:rsid w:val="00411334"/>
    <w:rsid w:val="00433B40"/>
    <w:rsid w:val="00437A66"/>
    <w:rsid w:val="00445ECE"/>
    <w:rsid w:val="00462FB8"/>
    <w:rsid w:val="00462FC0"/>
    <w:rsid w:val="00463B2C"/>
    <w:rsid w:val="00470D29"/>
    <w:rsid w:val="004821D1"/>
    <w:rsid w:val="00485BBA"/>
    <w:rsid w:val="004864EF"/>
    <w:rsid w:val="00491172"/>
    <w:rsid w:val="004A3A95"/>
    <w:rsid w:val="004A6F16"/>
    <w:rsid w:val="004A7B5C"/>
    <w:rsid w:val="004B2BFE"/>
    <w:rsid w:val="004B357E"/>
    <w:rsid w:val="004B4F43"/>
    <w:rsid w:val="004C0911"/>
    <w:rsid w:val="004C0AD0"/>
    <w:rsid w:val="004C730B"/>
    <w:rsid w:val="004D004D"/>
    <w:rsid w:val="004E3021"/>
    <w:rsid w:val="004E57A7"/>
    <w:rsid w:val="004E5AC0"/>
    <w:rsid w:val="004E78C3"/>
    <w:rsid w:val="004F41D4"/>
    <w:rsid w:val="004F7C3E"/>
    <w:rsid w:val="005108B8"/>
    <w:rsid w:val="005233C7"/>
    <w:rsid w:val="00530E5C"/>
    <w:rsid w:val="00534F68"/>
    <w:rsid w:val="00545E8B"/>
    <w:rsid w:val="0054771D"/>
    <w:rsid w:val="00550290"/>
    <w:rsid w:val="00565074"/>
    <w:rsid w:val="005707BF"/>
    <w:rsid w:val="00570874"/>
    <w:rsid w:val="00576CB6"/>
    <w:rsid w:val="00577519"/>
    <w:rsid w:val="00581DCD"/>
    <w:rsid w:val="005844AE"/>
    <w:rsid w:val="0059655C"/>
    <w:rsid w:val="005B1C41"/>
    <w:rsid w:val="005B32C1"/>
    <w:rsid w:val="005C3637"/>
    <w:rsid w:val="005C6B4B"/>
    <w:rsid w:val="005D1392"/>
    <w:rsid w:val="005E2E1B"/>
    <w:rsid w:val="005F6380"/>
    <w:rsid w:val="005F6CCF"/>
    <w:rsid w:val="005F72BE"/>
    <w:rsid w:val="00600E5E"/>
    <w:rsid w:val="00602D56"/>
    <w:rsid w:val="00603F34"/>
    <w:rsid w:val="00606CB2"/>
    <w:rsid w:val="00610807"/>
    <w:rsid w:val="0061197E"/>
    <w:rsid w:val="0061203D"/>
    <w:rsid w:val="00612BEC"/>
    <w:rsid w:val="006228E7"/>
    <w:rsid w:val="00636524"/>
    <w:rsid w:val="00643674"/>
    <w:rsid w:val="0065352A"/>
    <w:rsid w:val="006552B3"/>
    <w:rsid w:val="006605EA"/>
    <w:rsid w:val="00661AC3"/>
    <w:rsid w:val="0066663F"/>
    <w:rsid w:val="006670D0"/>
    <w:rsid w:val="00667A1E"/>
    <w:rsid w:val="00670E61"/>
    <w:rsid w:val="00672F94"/>
    <w:rsid w:val="00674E49"/>
    <w:rsid w:val="006769E4"/>
    <w:rsid w:val="00676B3C"/>
    <w:rsid w:val="00682D73"/>
    <w:rsid w:val="00684280"/>
    <w:rsid w:val="00696DCB"/>
    <w:rsid w:val="00697595"/>
    <w:rsid w:val="006A2478"/>
    <w:rsid w:val="006B49B1"/>
    <w:rsid w:val="006D1CD9"/>
    <w:rsid w:val="006D2548"/>
    <w:rsid w:val="006D283B"/>
    <w:rsid w:val="006E0888"/>
    <w:rsid w:val="006E2348"/>
    <w:rsid w:val="006F0270"/>
    <w:rsid w:val="00700863"/>
    <w:rsid w:val="0070253D"/>
    <w:rsid w:val="00720D3B"/>
    <w:rsid w:val="007218B7"/>
    <w:rsid w:val="007218C2"/>
    <w:rsid w:val="0073654A"/>
    <w:rsid w:val="00736B49"/>
    <w:rsid w:val="00740E07"/>
    <w:rsid w:val="00740FD9"/>
    <w:rsid w:val="00743599"/>
    <w:rsid w:val="0074615A"/>
    <w:rsid w:val="00752593"/>
    <w:rsid w:val="00753185"/>
    <w:rsid w:val="00755AA1"/>
    <w:rsid w:val="00770567"/>
    <w:rsid w:val="007777B3"/>
    <w:rsid w:val="007978DA"/>
    <w:rsid w:val="007A4543"/>
    <w:rsid w:val="007A4655"/>
    <w:rsid w:val="007A5B38"/>
    <w:rsid w:val="007A637E"/>
    <w:rsid w:val="007B60B2"/>
    <w:rsid w:val="007C3859"/>
    <w:rsid w:val="007E12F0"/>
    <w:rsid w:val="007E24F7"/>
    <w:rsid w:val="007E2A10"/>
    <w:rsid w:val="007E5BAB"/>
    <w:rsid w:val="007F1EA3"/>
    <w:rsid w:val="007F2561"/>
    <w:rsid w:val="007F2A63"/>
    <w:rsid w:val="00811842"/>
    <w:rsid w:val="00824973"/>
    <w:rsid w:val="0083662F"/>
    <w:rsid w:val="00840158"/>
    <w:rsid w:val="00852C0B"/>
    <w:rsid w:val="008571A1"/>
    <w:rsid w:val="00863C11"/>
    <w:rsid w:val="008720C7"/>
    <w:rsid w:val="00883A8C"/>
    <w:rsid w:val="00883B50"/>
    <w:rsid w:val="00884355"/>
    <w:rsid w:val="008861DB"/>
    <w:rsid w:val="00896065"/>
    <w:rsid w:val="008B58A5"/>
    <w:rsid w:val="008C01A4"/>
    <w:rsid w:val="008D5387"/>
    <w:rsid w:val="008D79B6"/>
    <w:rsid w:val="008D7E0F"/>
    <w:rsid w:val="008F0B40"/>
    <w:rsid w:val="008F3B11"/>
    <w:rsid w:val="00902434"/>
    <w:rsid w:val="00910CF3"/>
    <w:rsid w:val="009120DD"/>
    <w:rsid w:val="009165E5"/>
    <w:rsid w:val="0092295E"/>
    <w:rsid w:val="009253B2"/>
    <w:rsid w:val="009429C9"/>
    <w:rsid w:val="00953236"/>
    <w:rsid w:val="00961D46"/>
    <w:rsid w:val="00962E55"/>
    <w:rsid w:val="00967736"/>
    <w:rsid w:val="00972CD4"/>
    <w:rsid w:val="00985220"/>
    <w:rsid w:val="00986730"/>
    <w:rsid w:val="00992328"/>
    <w:rsid w:val="00995D1D"/>
    <w:rsid w:val="009A4E23"/>
    <w:rsid w:val="009A63BB"/>
    <w:rsid w:val="009B35F9"/>
    <w:rsid w:val="009C22D8"/>
    <w:rsid w:val="009C3F2E"/>
    <w:rsid w:val="00A05342"/>
    <w:rsid w:val="00A068D3"/>
    <w:rsid w:val="00A13DBD"/>
    <w:rsid w:val="00A2752E"/>
    <w:rsid w:val="00A31D48"/>
    <w:rsid w:val="00A33243"/>
    <w:rsid w:val="00A40C2D"/>
    <w:rsid w:val="00A41AB3"/>
    <w:rsid w:val="00A435D9"/>
    <w:rsid w:val="00A56A6A"/>
    <w:rsid w:val="00A85E93"/>
    <w:rsid w:val="00AA0F1B"/>
    <w:rsid w:val="00AB0530"/>
    <w:rsid w:val="00AB2161"/>
    <w:rsid w:val="00AB3378"/>
    <w:rsid w:val="00AC0D22"/>
    <w:rsid w:val="00AC19D1"/>
    <w:rsid w:val="00AD6995"/>
    <w:rsid w:val="00AE0782"/>
    <w:rsid w:val="00AE7420"/>
    <w:rsid w:val="00AF0226"/>
    <w:rsid w:val="00AF02A1"/>
    <w:rsid w:val="00AF5D04"/>
    <w:rsid w:val="00B001C9"/>
    <w:rsid w:val="00B029D8"/>
    <w:rsid w:val="00B02CE1"/>
    <w:rsid w:val="00B0451F"/>
    <w:rsid w:val="00B04F27"/>
    <w:rsid w:val="00B1309A"/>
    <w:rsid w:val="00B1439B"/>
    <w:rsid w:val="00B1452A"/>
    <w:rsid w:val="00B1528A"/>
    <w:rsid w:val="00B155F4"/>
    <w:rsid w:val="00B17AFB"/>
    <w:rsid w:val="00B24002"/>
    <w:rsid w:val="00B24100"/>
    <w:rsid w:val="00B42548"/>
    <w:rsid w:val="00B4281E"/>
    <w:rsid w:val="00B62813"/>
    <w:rsid w:val="00B70EA1"/>
    <w:rsid w:val="00B717E7"/>
    <w:rsid w:val="00B71FC0"/>
    <w:rsid w:val="00B76B17"/>
    <w:rsid w:val="00B771E8"/>
    <w:rsid w:val="00B777A8"/>
    <w:rsid w:val="00B9407F"/>
    <w:rsid w:val="00B9473F"/>
    <w:rsid w:val="00B9591F"/>
    <w:rsid w:val="00BA2017"/>
    <w:rsid w:val="00BA63D0"/>
    <w:rsid w:val="00BB4030"/>
    <w:rsid w:val="00BC3E18"/>
    <w:rsid w:val="00BC5534"/>
    <w:rsid w:val="00BD70A4"/>
    <w:rsid w:val="00BE24B8"/>
    <w:rsid w:val="00BF06F3"/>
    <w:rsid w:val="00C01E16"/>
    <w:rsid w:val="00C26291"/>
    <w:rsid w:val="00C26D31"/>
    <w:rsid w:val="00C3076F"/>
    <w:rsid w:val="00C42774"/>
    <w:rsid w:val="00C4406B"/>
    <w:rsid w:val="00C543A7"/>
    <w:rsid w:val="00C5555C"/>
    <w:rsid w:val="00C55647"/>
    <w:rsid w:val="00C76E30"/>
    <w:rsid w:val="00C77E92"/>
    <w:rsid w:val="00C8411D"/>
    <w:rsid w:val="00C84F0D"/>
    <w:rsid w:val="00CA413F"/>
    <w:rsid w:val="00CB157B"/>
    <w:rsid w:val="00CB287F"/>
    <w:rsid w:val="00CB3270"/>
    <w:rsid w:val="00CB7E6C"/>
    <w:rsid w:val="00CC0590"/>
    <w:rsid w:val="00CC09BB"/>
    <w:rsid w:val="00CC140C"/>
    <w:rsid w:val="00CC5AC9"/>
    <w:rsid w:val="00CC74AA"/>
    <w:rsid w:val="00CE0C1F"/>
    <w:rsid w:val="00CE2437"/>
    <w:rsid w:val="00CF0DE1"/>
    <w:rsid w:val="00D0311B"/>
    <w:rsid w:val="00D046B2"/>
    <w:rsid w:val="00D04A9A"/>
    <w:rsid w:val="00D211A9"/>
    <w:rsid w:val="00D21257"/>
    <w:rsid w:val="00D24555"/>
    <w:rsid w:val="00D247B3"/>
    <w:rsid w:val="00D27E97"/>
    <w:rsid w:val="00D30E70"/>
    <w:rsid w:val="00D328D5"/>
    <w:rsid w:val="00D33D78"/>
    <w:rsid w:val="00D43E3C"/>
    <w:rsid w:val="00D462B3"/>
    <w:rsid w:val="00D50CE0"/>
    <w:rsid w:val="00D51C6C"/>
    <w:rsid w:val="00D53122"/>
    <w:rsid w:val="00D53DE0"/>
    <w:rsid w:val="00D5751C"/>
    <w:rsid w:val="00D62F18"/>
    <w:rsid w:val="00D63B88"/>
    <w:rsid w:val="00D64054"/>
    <w:rsid w:val="00D710A3"/>
    <w:rsid w:val="00D7356F"/>
    <w:rsid w:val="00D80E07"/>
    <w:rsid w:val="00D83AFB"/>
    <w:rsid w:val="00D85D1E"/>
    <w:rsid w:val="00D864DC"/>
    <w:rsid w:val="00D90F04"/>
    <w:rsid w:val="00D921FC"/>
    <w:rsid w:val="00D92AEF"/>
    <w:rsid w:val="00DA5557"/>
    <w:rsid w:val="00DB44BA"/>
    <w:rsid w:val="00DB70F3"/>
    <w:rsid w:val="00DB7920"/>
    <w:rsid w:val="00DD3B0D"/>
    <w:rsid w:val="00DD4552"/>
    <w:rsid w:val="00DD7179"/>
    <w:rsid w:val="00DF2530"/>
    <w:rsid w:val="00E01D74"/>
    <w:rsid w:val="00E02232"/>
    <w:rsid w:val="00E05C13"/>
    <w:rsid w:val="00E14693"/>
    <w:rsid w:val="00E2103B"/>
    <w:rsid w:val="00E22903"/>
    <w:rsid w:val="00E2451F"/>
    <w:rsid w:val="00E24E3C"/>
    <w:rsid w:val="00E40D5D"/>
    <w:rsid w:val="00E4334B"/>
    <w:rsid w:val="00E56C18"/>
    <w:rsid w:val="00E70EFD"/>
    <w:rsid w:val="00E72AA5"/>
    <w:rsid w:val="00E72C55"/>
    <w:rsid w:val="00E80E4E"/>
    <w:rsid w:val="00E816A5"/>
    <w:rsid w:val="00E90B56"/>
    <w:rsid w:val="00EA44FB"/>
    <w:rsid w:val="00EA5825"/>
    <w:rsid w:val="00EB4B72"/>
    <w:rsid w:val="00EB6C8A"/>
    <w:rsid w:val="00EC0194"/>
    <w:rsid w:val="00ED7CC3"/>
    <w:rsid w:val="00EE190D"/>
    <w:rsid w:val="00F031EC"/>
    <w:rsid w:val="00F11870"/>
    <w:rsid w:val="00F20BC1"/>
    <w:rsid w:val="00F21B42"/>
    <w:rsid w:val="00F25082"/>
    <w:rsid w:val="00F3128B"/>
    <w:rsid w:val="00F35C2C"/>
    <w:rsid w:val="00F40D79"/>
    <w:rsid w:val="00F4308E"/>
    <w:rsid w:val="00F479E1"/>
    <w:rsid w:val="00F66D5C"/>
    <w:rsid w:val="00F66FE8"/>
    <w:rsid w:val="00F756AC"/>
    <w:rsid w:val="00F81CC0"/>
    <w:rsid w:val="00F82C1E"/>
    <w:rsid w:val="00FA22EC"/>
    <w:rsid w:val="00FA23D4"/>
    <w:rsid w:val="00FA2C68"/>
    <w:rsid w:val="00FB39D2"/>
    <w:rsid w:val="00FB7D23"/>
    <w:rsid w:val="00FC729C"/>
    <w:rsid w:val="00FE51CB"/>
    <w:rsid w:val="00FF2FD7"/>
    <w:rsid w:val="22F14BB7"/>
    <w:rsid w:val="2DC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4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table" w:customStyle="1" w:styleId="10">
    <w:name w:val="Tabla con cuadrícula 4 - Énfasis 61"/>
    <w:basedOn w:val="3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1">
    <w:name w:val="Tabla de lista 5 oscura - Énfasis 61"/>
    <w:basedOn w:val="3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">
    <w:name w:val="Tabla con cuadrícula 6 con colores - Énfasis 61"/>
    <w:basedOn w:val="3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paragraph" w:customStyle="1" w:styleId="14">
    <w:name w:val="Pa4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paragraph" w:customStyle="1" w:styleId="15">
    <w:name w:val="Pa5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paragraph" w:customStyle="1" w:styleId="16">
    <w:name w:val="Pa6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CO" w:eastAsia="en-US" w:bidi="ar-SA"/>
    </w:rPr>
  </w:style>
  <w:style w:type="table" w:customStyle="1" w:styleId="18">
    <w:name w:val="Tabla con cuadrícula 6 con colores - Énfasis 41"/>
    <w:basedOn w:val="3"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styleId="19">
    <w:name w:val="No Spacing"/>
    <w:link w:val="20"/>
    <w:qFormat/>
    <w:uiPriority w:val="1"/>
    <w:rPr>
      <w:rFonts w:asciiTheme="minorHAnsi" w:hAnsiTheme="minorHAnsi" w:eastAsiaTheme="minorEastAsia" w:cstheme="minorBidi"/>
      <w:sz w:val="22"/>
      <w:szCs w:val="22"/>
      <w:lang w:val="es-CO" w:eastAsia="es-CO" w:bidi="ar-SA"/>
    </w:rPr>
  </w:style>
  <w:style w:type="character" w:customStyle="1" w:styleId="20">
    <w:name w:val="Sin espaciado Car"/>
    <w:basedOn w:val="2"/>
    <w:link w:val="19"/>
    <w:uiPriority w:val="1"/>
    <w:rPr>
      <w:rFonts w:eastAsiaTheme="minorEastAsia"/>
      <w:lang w:eastAsia="es-C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B870D-7623-44FF-9737-C8F75690D91A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165</Words>
  <Characters>1101</Characters>
  <Lines>10801</Lines>
  <Paragraphs>360</Paragraphs>
  <TotalTime>4</TotalTime>
  <ScaleCrop>false</ScaleCrop>
  <LinksUpToDate>false</LinksUpToDate>
  <CharactersWithSpaces>1246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2026-03-24T01:09:00Z</dcterms:created>
  <dc:creator>USUARIO</dc:creator>
  <cp:lastModifiedBy>Dell</cp:lastModifiedBy>
  <cp:lastPrinted>2024-10-08T01:23:00Z</cp:lastPrinted>
  <dcterms:modified xsi:type="dcterms:W3CDTF">2026-04-11T23:24:34Z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3082-12.1.0.25242</vt:lpwstr>
  </property>
  <property fmtid="{D5CDD505-2E9C-101B-9397-08002B2CF9AE}" pid="3" name="ICV">
    <vt:lpwstr>369AC1E0CC0D43A28ACAF5F448CCB4DC_12</vt:lpwstr>
  </property>
  <property fmtid="{D5CDD505-2E9C-101B-9397-08002B2CF9AE}" pid="4" name="KSOTemplateDocerSaveRecord">
    <vt:lpwstr>eyJoZGlkIjoiMDM5NjExZTNmM2I5MmQyZWE4MjM0MzZmYTcwYmQxMmYifQ==</vt:lpwstr>
  </property>
</Properties>
</file>