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4"/>
        <w:gridCol w:w="8363"/>
        <w:tblGridChange w:id="0">
          <w:tblGrid>
            <w:gridCol w:w="1844"/>
            <w:gridCol w:w="8363"/>
          </w:tblGrid>
        </w:tblGridChange>
      </w:tblGrid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2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-8254</wp:posOffset>
                  </wp:positionH>
                  <wp:positionV relativeFrom="paragraph">
                    <wp:posOffset>178435</wp:posOffset>
                  </wp:positionV>
                  <wp:extent cx="932815" cy="873125"/>
                  <wp:effectExtent b="0" l="0" r="0" t="0"/>
                  <wp:wrapSquare wrapText="bothSides" distB="0" distT="0" distL="114300" distR="11430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73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0" w:right="-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INSTITUCION EDUCATIVA RURAL FLORENTINO BLANCO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3775075</wp:posOffset>
                  </wp:positionH>
                  <wp:positionV relativeFrom="paragraph">
                    <wp:posOffset>42545</wp:posOffset>
                  </wp:positionV>
                  <wp:extent cx="981075" cy="733425"/>
                  <wp:effectExtent b="0" l="0" r="0" t="0"/>
                  <wp:wrapSquare wrapText="bothSides" distB="0" distT="0" distL="114300" distR="114300"/>
                  <wp:docPr descr="Educacion" id="4" name="image2.png"/>
                  <a:graphic>
                    <a:graphicData uri="http://schemas.openxmlformats.org/drawingml/2006/picture">
                      <pic:pic>
                        <pic:nvPicPr>
                          <pic:cNvPr descr="Educacion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33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0" w:right="-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DECRETO DE CREACIÓN N° 001367 DEL 5 DE OCTUBRE DE 2021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0" w:right="-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RESOLUCION DE APROBACION DE ESTUDIOS  N° 009557 19/11/2024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0" w:right="-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DANE: 254261000166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0" w:right="-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Bodoni" w:cs="Bodoni" w:eastAsia="Bodoni" w:hAnsi="Bodoni"/>
                <w:b w:val="1"/>
                <w:bCs w:val="1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bCs w:val="1"/>
                <w:rtl w:val="0"/>
              </w:rPr>
              <w:t xml:space="preserve">PLAN OPERATIVO  2026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DOCENTE:                                                          GRADOS: Inicial - 11            SEDE: Principal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00000000002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"/>
        <w:gridCol w:w="1674"/>
        <w:gridCol w:w="1519"/>
        <w:gridCol w:w="1493"/>
        <w:gridCol w:w="2093"/>
        <w:gridCol w:w="1902"/>
        <w:gridCol w:w="924"/>
        <w:tblGridChange w:id="0">
          <w:tblGrid>
            <w:gridCol w:w="460"/>
            <w:gridCol w:w="1674"/>
            <w:gridCol w:w="1519"/>
            <w:gridCol w:w="1493"/>
            <w:gridCol w:w="2093"/>
            <w:gridCol w:w="1902"/>
            <w:gridCol w:w="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RECURSOS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METAS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ESTRATEGIAS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Fortalecer la gestión institucional mediante la revisión, ajuste y evaluación de los componentes del Proyecto Educativo Institucional (PEI) para garantizar la calidad en la prestación del servicio educativo.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Desarrollar y dar cumplimiento a la Circular N° 267 del 28/nov/2025 emitida por la SED de Norte de Santander.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Lectura de la resolución N° 009745 del 10/10/2025 y la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ircular 053 del 18/marzo/2025, emitida por la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Secretaría de Educación del Norte de Santander.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Documentos institucionales y del MEN digitales.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PTA, asesor de Web Colegio.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Plataformas Oficiales: SIMAT (matrícula), SIMPADE (permanencia)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100% de la resignificación curricular y administrativa propuestos queden documentados e incorporados al PEI y cargados en la plataforma enjambre, antes de iniciar el periodo lectivo con estudiantes.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Contar con un Plan Operativo Anual (POA) debidamente estructurado y socializado con toda la comunidad educativa.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Mesas de trabajo: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Conformación de equipos por áreas del conocimiento para la revisión de planes de estudio.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Plenarias de socialización: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Espacios para compartir los ajustes realizados y llegar a consensos institucionales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 de capacitación: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Invitación a los integrantes de Web Colegio para la actualización pedagógica de la plataforma.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Seguimiento: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Uso de bitácoras digitales para registrar los avances y asistencia de cada jornada.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Enero 05 al 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Facilitar la adaptación e integración de los estudiantes al entorno escolar, promoviendo el sentido de pertenencia y el conocimiento de la filosofía institucional, asimismo la construcción colectiva de acuerdos que garanticen una convivencia armoniosa.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 de Bienvenida: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Acto protocolario, saludo del rector y presentación de los docentes.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Recorrido escolar: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Actividad lúdica para que los estudiantes encuentren los puntos clave del colegio.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Talleres de Manual de Convivencia: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Dinámicas para analizar situaciones de conflicto y soluciones según la norma institucional.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Caracterización: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Aplicación de diagnósticos socioemocionales y académicos iniciales.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Pacto de Aula: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Lluvia de ideas con los estudiantes para definir las "reglas de juego" específicas de su salón, enfocadas en la resolución pacífica de conflictos.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Kit de bienvenida y manual de convivencia digital y/o físico.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100% de los estudiantes nuevos y antiguos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participen en la jornada de inducción y firmen el acta de conocimiento y compromiso con el Manual de Convivencia.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Garantizar que al finalizar la primera semana, todos los estudiantes identifiquen sus horarios, rutas de atención integral y docentes asignados.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Establecer el Pacto de Aula en el 100% de los grupos de la institución durante la primera semana de clases, dejándolo visible en cada salón.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Acompañamiento por Pares: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Implementar un sistema de "Estudiante Tutor" o "Padrino", donde alumnos destacados de grados superiores guían a los nuevos.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Liderazgo Docente: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El director de grupo actúa como facilitador, no solo como autoridad.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Aprendizaje Basado en el Juego: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Utilizar técnicas de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gamificación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para que los estudiantes vivencien el Manual de Convivencia en lugar de solo leerlo.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Construcción Horizontal: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El Pacto de Aula no se impone; se negocia con los estudiantes para que se sientan dueños de sus propios compromisos.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Enero 19 al 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Instituir los órganos de participación y decisión de la institución educativa para garantizar la democracia, la transparencia y la representación de todos los estamentos durante el año lectivo.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Convocatoria y Sensibilización: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Charlas sobre la importancia del Gobierno Escolar y publicación de requisitos para cada cargo.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Inscripción de Candidatos: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Apertura de registro para estudiantes interesados, validando su perfil académico y disciplinario.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Campaña Electoral: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Espacios para que los candidatos presenten sus propuestas (debates, visitas a salones, videos informativos).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 de Elecciones (Día de la Democracia):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Votación secreta (manual o digital) de estudiantes, docentes y padres.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Posesión de Órganos: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Acto oficial de juramento y entrega de funciones a los elegidos.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Urnas, cubículos, tarjetones (si es manual), actas de escrutinio, distintivos para los candidatos.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participación del 100% de los estamentos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(estudiantes, docentes, padres, egresados y sector productivo) en la conformación de sus respectivos consejos.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Tener constituidos y en funciones todos los órganos del Gobierno Escolar antes de finalizar 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primer mes de calendario académico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Transversalidad: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Integrar el proceso con el área de Ciencias Sociales y Ética para que no sea solo un evento, sino un aprendizaje.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Uso de TIC: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Implementar software de votación electrónica para agilizar el escrutinio y dar resultados en tiempo real.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Debates Presenciales: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Organizar foros donde los candidatos respondan preguntas de la comunidad, evitando promesas irreales.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Veeduría: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Designar un comité de docentes y estudiantes que actúen como jurados y garantes de la transparencia.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Febrero 06 a marzo 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Fomentar el respeto por los símbolos patrios y la identidad cultural colombiana e internacional a través de actos cívicos que reconozcan el mérito estudiantil y los valores ciudadanos.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Protocolo de Izada: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Ingreso de banderas, entonación de himnos (Nacional, de Cúcuta/Norte de Santander y del Colegio) y toma de juramento a la bandera.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Reconocimiento de Méritos: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Lectura del cuadro de honor y entrega de menciones o distintivos a los estudiantes que "izan bandera".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Actos Culturales: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Presentación de danzas folclóricas, poesías, dramas o intervenciones musicales relacionadas con la fecha conmemorada.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Discurso Pedagógico: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Reflexión a cargo de un docente o estudiante sobre el valor cívico del mes (ej. Respeto, Solidaridad, Honestidad).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Banderas (Colombia, Departamento, Institución), astas, menciones de honor, carteleras decorativas.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Patio central decorado con motivos patrios.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el 100% de las izadas de bandera programadas en el calendario civil y académico del año.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100% de los estudiantes que izan bandera reciban un reconocimiento formal frente a la comunidad educativa.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Garantizar un comportamiento impecable y un ambiente de respeto durante el 100% del tiempo que dure la ceremonia.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Rotación de Responsabilidades: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Cada izada de bandera es organizada por un grado o área del conocimiento diferente, asegurando que todos los docentes y estudiantes participen en la planeación.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Inclusión: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No solo se reconoce el promedio académico; se deben incluir categorías como "mejor compañero", "espíritu deportivo" o "superación personal" para motivar a toda la población.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Sentido de Pertenencia: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Vincular la historia nacional con la historia local (Cúcuta o El Zulia como ciudad fundacional) para hacer el aprendizaje más significativo.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Febrero 28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Marzo 8 Marzo 19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Abril 22 Abril 23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Mayo 01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Junio 05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Julio 20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Agosto 07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Octubre 12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Noviembre 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Informar de manera oficial y detallada a los padres de familia y/o acudientes sobre los avances, fortalezas y dificultades del estudiante en las dimensiones cognitiva y convivencial.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Comisión de Evaluación y Promoción: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Reunión de docentes y directivos para analizar casos especiales de éxito o dificultad antes de la entrega final.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 de Entrega de Boletines: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Reunión grupal de padres con el director de grupo para socializar generalidades del curso.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Atención Individualizada: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Espacio privado para tratar casos específicos de rendimiento o disciplina que requieren reserva.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Registro en Plataforma: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Carga de notas y observaciones cualitativas por parte de cada docente de área.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Boletines impresos (o acceso digital), actas de reunión, carpetas de seguimiento del observador del estudiante.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Entregar el 100% de los reportes académicos programados en el calendario escolar a los padres de familia.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la asistencia de al menos el 90% de los acudientes a las jornadas de entrega de informes.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Reducir en un 10% el índice de reprobación por periodo mediante el seguimiento a los compromisos firmados.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Enfoque Cualitativo: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No entregar solo un número; cada nota debe ir acompañada de una observación que explique el desempeño y cómo mejorar.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Escuela de Padres Itinerante: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Aprovechar la entrega de informes para dar una breve charla (5-10 min) sobre pautas de crianza o hábitos de estudio.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Firma de Compromisos: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Para casos con desempeño "Bajo", se debe diligenciar un acta de compromiso académico/disciplinario de forma inmediata.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Abril 10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Junio 12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Octubre 09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Noviembre 20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Integrar temáticas de relevancia social y humana al currículo escolar, permitiendo que el estudiante desarrolle competencias ciudadanas y valores para la vida de forma transversal en todas las áreas.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Diagnóstico y Planeación: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Identificación de las necesidades específicas del contexto (ej. manejo de residuos en el colegio o prevención del embarazo adolescente).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Mallas de Transversalidad: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Ajuste de los planes de área para que cada materia aporte al proyecto (ej. Matemáticas aporta a educación financiera; Ciencias Naturales al PRAE).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Jornadas de Sensibilización: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Charlas, ferias ambientales, foros de sexualidad y talleres de ahorro.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Evaluación de Impacto: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Recolección de evidencias (fotos, videos, encuestas) para medir el cambio de actitud en los estudiantes.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Contar con el 95% de los proyectos transversales legalmente constituidos y documentados en el PEI.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100% de los docentes incluya al menos una actividad transversal en su planeación de aula por periodo.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Impactar positivamente al 90% de la población estudiantil a través de las acciones preventivas y formativas de cada proyecto.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Liderazgo por Comités: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Cada proyecto tiene un docente líder, pero involucra a un equipo interdisciplinario.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Institucionalización: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Los proyectos no son eventos aislados; se ejecutan durante todo el año escolar y se reflejan en las actividades cotidianas (ej. el reciclaje diario es parte del PRAE).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Articulación Externa: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Buscar apoyo en entidades externas para fortalecer el contenido de los proyectos.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Última semana de cada periodo.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Alinear la gestión directiva, académica, administrativa y comunitaria con las metas del Plan de Desarrollo Educativo Nacional y Territorial, garantizando la mejora continua del servicio.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Actualización Curricular: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Ajuste de los Planes de Área incorporando los DBA y las orientaciones pedagógicas del MEN para cada nivel.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Autoevaluación Institucional: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Aplicación rigurosa de la Guía 34 para diagnosticar el estado de las cuatro áreas de gestión.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Gestión del Riesgo y Permanencia: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Ejecución de estrategias para evitar la deserción escolar y reporte en el sistema SIMPADE según pautas de la SED.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Capacitación Docente: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Participación en los programas de formación continua y acompañamiento pedagógico. 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Documentos institucionales y del MEN digitales.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comunicación.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PTA.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Plataformas Oficiales: SIMAT (matrícula), SIMPADE (permanencia)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un cumplimiento del 95% de los reportes y requerimientos solicitados por la SED y el MEN en los tiempos estipulados por el calendario oficial.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Elevar o mantener el nivel de desempeño institucional en las pruebas externas de acuerdo con las metas de eficiencia y calidad.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Garantizar la cobertura y permanencia del 95% de los estudiantes matriculados, minimizando las tasas de deserción y reprobación.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Ciclos de Mejora (PHVA):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Planear las actividades según el calendario académico de la SED, Hacer (ejecutar), Verificar (evaluar resultados) y Actuar (ajustar planes de mejoramiento).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Trabajo en Red: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Participación en los microcentros o nodos territoriales propuestos por la Secretaría de Educación para intercambiar experiencias significativas.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Articulación de Niveles: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Asegurar la transición armónica de los estudiantes entre grados y niveles educativos (inicial, básica y media).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Marzo 30 a Abril 05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Junio 29 a Julio 05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Octubre 5 al 11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Noviembre 29 a diciembre 06.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Formalizar el traspaso de los valores, tradiciones y responsabilidades institucionales de la promoción saliente a la promoción entrante, fortaleciendo la continuidad del sentido de pertenencia.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Desfile de Honor: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Entrada de las dos promociones (10° y 11°) con música solemne.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Acto de Entrega y Recepción: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Parejas representativas de ambos grados realizan el intercambio físico de los símbolos, acompañado de discursos breves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Palabras de Despedida: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 representante de 11° da un mensaje de gratitud y uno de 10° da un mensaje de compromiso.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Brindis o Compartir: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Un espacio social sencillo al finalizar la ceremonia.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100% de los símbolos institucionales sean entregados y recibidos de acuerdo con el protocolo establecido.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Garantizar que el 100% de los estudiantes de Grado 10 asuman públicamente el compromiso de custodiar los valores del colegio para el año siguiente.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Protocolo Riguroso: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La ceremonia debe ser impecable en términos de orden, uniformidad (uso perfecto del uniforme de gala) y tono solemne.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Ensayos Previos: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Realizar al menos dos ensayos generales para coordinar los movimientos, el paso de los símbolos y la oratoria de los estudiantes.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Personalización de Discursos: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Los mensajes de entrega deben ser redactados por los mismos estudiantes (bajo supervisión docente) para que tengan un sentimiento real y auténtico.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Noviembre 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Celebrar el cierre de ciclos académicos de los estudiantes, reconociendo sus logros y promoviéndolos al siguiente nivel de su formación integral.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Proclamar oficialmente como Bachilleres a los estudiantes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Grado 11°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facultándolos para la educación superior.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Exaltar los logros académicos y formativos de los estudiantes de preescolar, básica y media.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ensayos generales para coordinar la logística.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Formalizar el paso de los estudiantes de grado 11 a la vida superior mediante la proclamación de bachilleres.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Canchas deportivas y espacios académicos del colegio.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Diplomas, actas de grado, medallas de honor, estolas y togas.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el 100% de los graduandos participen en una ceremonia organizada, donde se cumplan los tiempos establecidos y se alcance un nivel de satisfacción alto por parte de los padres de familia y la comunidad educativa.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Bloque de Transición: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Un evento corto, dinámico y emocional.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Bloque de Básica y Secundaria: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Un acto protocolario conjunto centrado en el reconocimiento al mérito.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Ceremonia de Proclamación (Grado 11):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Un evento de alta solemnidad, con protocolos estrictos, discursos de despedida.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Noviembre 13 al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Garantizar que los estudiantes con desempeño bajo superen las dificultades de aprendizaje detectadas, alcanzando las competencias mínimas requeridas para la aprobación de la asignatura o la promoción al siguiente grado.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Fase de Diagnóstico y Diseño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El docente elabora el Plan de Apoyo específico, indicando qué temas puntuales se deben reforzar.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Entrega física/digital del plan al estudiante y notificación al acudiente.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Fase de Trabajo Autónomo y Acompañamiento: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estudiante desarrolla la guía de nivelación o taller práctico.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Tutoría: Espacio presencial de 1 o 2 sesiones donde el docente resuelve dudas específicas sobre el taller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Fase de Evaluación: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Entrega del taller resuelto (requisito para presentar la prueba).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Aplicación de la prueba escrita o sustentación oral.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Fase Administrativa: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Calificación y retroalimentación inmediata al estudiante.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Registro de la novedad de nota en el sistema académico (cambio de nota de "Reprobado" a "Nivelado").</w:t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Espacios académicos del colegio.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Documentos diseñados específicamente para el refuerzo, distintos a los usados en el periodo regular.</w:t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Banco de pruebas o rúbricas de evaluación.</w:t>
            </w:r>
          </w:p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"Acta de Nivelación" para firma de conformidad.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que al menos el 85% de los estudiantes reportados en situación de bajo rendimiento aprueben el plan de nivelación, evidenciando la superación de los logros pendientes, y reducir la tasa de reprobación anual definitiva a menos del 10%.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Enfoque en Competencias: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No evaluar memoria, sino la aplicación del conocimiento (saber hacer).</w:t>
            </w:r>
          </w:p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Sustentación Obligatoria: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La entrega de trabajos escritos no garantiza la nota; el estudiante debe defender su trabajo oralmente o mediante prueba escrita para validar la autoría y el aprendizaje.</w:t>
            </w:r>
          </w:p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Corresponsabilidad: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Firma de un compromiso académico entre estudiante, acudiente y docente al inicio del proceso.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Primera semana de cada periodo y semana 2 de noviembre.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Asegurar la reserva de cupo de la población estudiantil activa para el año lectivo 2027, permitiendo la planificación precisa de la carga académica y administrativa.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Lanzamiento de Circular 001-2027: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Envío de comunicación oficial a padres de familia. 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Auditoría de Estado Actual: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Secretaría revisa qué estudiantes están habilitados (paz y salvo) para iniciar el proceso.</w:t>
            </w:r>
          </w:p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Diligenciamiento de Formulario: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Los acudientes actualizan datos y marcan la casilla "SI/NO" en la intención de continuidad.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Llamada de Verificación: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Contacto único a familias que no llenaron el formulario para confirmar el cupo.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PC, internet, herramientas ofimáticas y de comunicación, videobeam, TV, equipo de sonido.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Directivos docentes, docentes de aula, tutor PTA y estudiantes.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Espacios académicos del colegio.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Circular oficial de Prematrícula.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Lograr la confirmación formal del 95% de los estudiantes antiguos y la actualización del 100% de sus datos de contacto.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Centralización: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Todo el proceso se centraliza en la plataforma de gestión académica o a través de los docentes 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Condicionalidad: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La prematrícula queda sujeta a estar a paz y salvo (financiero/documental) con la vigencia 2026.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partir de octubre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4062"/>
        </w:tabs>
        <w:rPr/>
      </w:pPr>
      <w:r w:rsidDel="00000000" w:rsidR="00000000" w:rsidRPr="00000000">
        <w:rPr>
          <w:rtl w:val="0"/>
        </w:rPr>
        <w:tab/>
      </w:r>
    </w:p>
    <w:sectPr>
      <w:pgSz w:h="1584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odoni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918E8"/>
    <w:pPr>
      <w:tabs>
        <w:tab w:val="center" w:pos="4252"/>
        <w:tab w:val="right" w:pos="8504"/>
      </w:tabs>
    </w:pPr>
    <w:rPr>
      <w:sz w:val="22"/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C918E8"/>
  </w:style>
  <w:style w:type="paragraph" w:styleId="Piedepgina">
    <w:name w:val="footer"/>
    <w:basedOn w:val="Normal"/>
    <w:link w:val="PiedepginaCar"/>
    <w:uiPriority w:val="99"/>
    <w:unhideWhenUsed w:val="1"/>
    <w:rsid w:val="00C918E8"/>
    <w:pPr>
      <w:tabs>
        <w:tab w:val="center" w:pos="4252"/>
        <w:tab w:val="right" w:pos="8504"/>
      </w:tabs>
    </w:pPr>
    <w:rPr>
      <w:sz w:val="22"/>
      <w:lang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918E8"/>
  </w:style>
  <w:style w:type="table" w:styleId="Tablaconcuadrcula">
    <w:name w:val="Table Grid"/>
    <w:basedOn w:val="Tablanormal"/>
    <w:uiPriority w:val="39"/>
    <w:rsid w:val="00C918E8"/>
    <w:pPr>
      <w:spacing w:after="0" w:line="240" w:lineRule="auto"/>
    </w:pPr>
    <w:rPr>
      <w:sz w:val="24"/>
      <w:lang w:val="es-CO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inespaciado">
    <w:name w:val="No Spacing"/>
    <w:uiPriority w:val="1"/>
    <w:qFormat w:val="1"/>
    <w:rsid w:val="00C918E8"/>
    <w:pPr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 w:val="1"/>
    <w:rsid w:val="00C918E8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2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bold.ttf"/><Relationship Id="rId2" Type="http://schemas.openxmlformats.org/officeDocument/2006/relationships/font" Target="fonts/Bodoni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gpNYvXOxqo67wcbkmIbn9jMMA==">CgMxLjA4AHIhMUFEa2t0Ym92X2xFNWtwOEdjN3pZVHc2N0YtamtWTmRa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2025-01-13T00:49:00Z</dcterms:created>
  <dc:creator>Usuario de Windows</dc:creator>
</cp:coreProperties>
</file>