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0A0" w:rsidRDefault="00CE5936" w:rsidP="00DC1EEB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 w:rsidRPr="00CE5936">
        <w:rPr>
          <w:b/>
          <w:bCs/>
          <w:sz w:val="24"/>
          <w:szCs w:val="24"/>
          <w:lang w:val="es-MX"/>
        </w:rPr>
        <w:t>AJUSTES CENTROS DE INTERÉS Y PROYECTO CRESE AL PROYECTO EDUCATIVO INSTITUCIONAL</w:t>
      </w:r>
    </w:p>
    <w:p w:rsidR="00785197" w:rsidRPr="00CE5936" w:rsidRDefault="00785197" w:rsidP="00DC1EEB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CER LA MESA- 2026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after="0" w:line="240" w:lineRule="auto"/>
        <w:ind w:left="620" w:right="747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E5936">
        <w:rPr>
          <w:rFonts w:ascii="Arial MT" w:eastAsia="Arial MT" w:hAnsi="Arial MT" w:cs="Arial MT"/>
          <w:sz w:val="24"/>
          <w:szCs w:val="24"/>
          <w:lang w:val="es-ES"/>
        </w:rPr>
        <w:t>El Programa de Tutorías para el Aprendizaje y la Formación Integral PTA/FI 3.0: estrategia</w:t>
      </w:r>
      <w:r w:rsidRPr="00CE5936">
        <w:rPr>
          <w:rFonts w:ascii="Arial MT" w:eastAsia="Arial MT" w:hAnsi="Arial MT" w:cs="Arial MT"/>
          <w:spacing w:val="-1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CE5936">
        <w:rPr>
          <w:rFonts w:ascii="Arial MT" w:eastAsia="Arial MT" w:hAnsi="Arial MT" w:cs="Arial MT"/>
          <w:spacing w:val="-1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formación,</w:t>
      </w:r>
      <w:r w:rsidRPr="00CE5936">
        <w:rPr>
          <w:rFonts w:ascii="Arial MT" w:eastAsia="Arial MT" w:hAnsi="Arial MT" w:cs="Arial MT"/>
          <w:spacing w:val="-16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acompañamiento</w:t>
      </w:r>
      <w:r w:rsidRPr="00CE5936">
        <w:rPr>
          <w:rFonts w:ascii="Arial MT" w:eastAsia="Arial MT" w:hAnsi="Arial MT" w:cs="Arial MT"/>
          <w:spacing w:val="-1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y</w:t>
      </w:r>
      <w:r w:rsidRPr="00CE5936">
        <w:rPr>
          <w:rFonts w:ascii="Arial MT" w:eastAsia="Arial MT" w:hAnsi="Arial MT" w:cs="Arial MT"/>
          <w:spacing w:val="-1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formación</w:t>
      </w:r>
      <w:r w:rsidRPr="00CE5936">
        <w:rPr>
          <w:rFonts w:ascii="Arial MT" w:eastAsia="Arial MT" w:hAnsi="Arial MT" w:cs="Arial MT"/>
          <w:spacing w:val="-1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integral</w:t>
      </w:r>
      <w:r w:rsidRPr="00CE5936">
        <w:rPr>
          <w:rFonts w:ascii="Arial MT" w:eastAsia="Arial MT" w:hAnsi="Arial MT" w:cs="Arial MT"/>
          <w:spacing w:val="-16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CE5936">
        <w:rPr>
          <w:rFonts w:ascii="Arial MT" w:eastAsia="Arial MT" w:hAnsi="Arial MT" w:cs="Arial MT"/>
          <w:spacing w:val="-1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los</w:t>
      </w:r>
      <w:r w:rsidRPr="00CE5936">
        <w:rPr>
          <w:rFonts w:ascii="Arial MT" w:eastAsia="Arial MT" w:hAnsi="Arial MT" w:cs="Arial MT"/>
          <w:spacing w:val="-1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establecimientos educativos oficiales en Colombia. Tiene como propósito aumentar y desarrollar las oportunidades</w:t>
      </w:r>
      <w:r w:rsidRPr="00CE5936">
        <w:rPr>
          <w:rFonts w:ascii="Arial MT" w:eastAsia="Arial MT" w:hAnsi="Arial MT" w:cs="Arial MT"/>
          <w:spacing w:val="-14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CE5936">
        <w:rPr>
          <w:rFonts w:ascii="Arial MT" w:eastAsia="Arial MT" w:hAnsi="Arial MT" w:cs="Arial MT"/>
          <w:spacing w:val="-15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aprendizaje</w:t>
      </w:r>
      <w:r w:rsidRPr="00CE5936">
        <w:rPr>
          <w:rFonts w:ascii="Arial MT" w:eastAsia="Arial MT" w:hAnsi="Arial MT" w:cs="Arial MT"/>
          <w:spacing w:val="-15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CE5936">
        <w:rPr>
          <w:rFonts w:ascii="Arial MT" w:eastAsia="Arial MT" w:hAnsi="Arial MT" w:cs="Arial MT"/>
          <w:spacing w:val="-15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las</w:t>
      </w:r>
      <w:r w:rsidRPr="00CE5936">
        <w:rPr>
          <w:rFonts w:ascii="Arial MT" w:eastAsia="Arial MT" w:hAnsi="Arial MT" w:cs="Arial MT"/>
          <w:spacing w:val="-14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niñas,</w:t>
      </w:r>
      <w:r w:rsidRPr="00CE5936">
        <w:rPr>
          <w:rFonts w:ascii="Arial MT" w:eastAsia="Arial MT" w:hAnsi="Arial MT" w:cs="Arial MT"/>
          <w:spacing w:val="-13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niños,</w:t>
      </w:r>
      <w:r w:rsidRPr="00CE5936">
        <w:rPr>
          <w:rFonts w:ascii="Arial MT" w:eastAsia="Arial MT" w:hAnsi="Arial MT" w:cs="Arial MT"/>
          <w:spacing w:val="-13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adolescentes</w:t>
      </w:r>
      <w:r w:rsidRPr="00CE5936">
        <w:rPr>
          <w:rFonts w:ascii="Arial MT" w:eastAsia="Arial MT" w:hAnsi="Arial MT" w:cs="Arial MT"/>
          <w:spacing w:val="-14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y</w:t>
      </w:r>
      <w:r w:rsidRPr="00CE5936">
        <w:rPr>
          <w:rFonts w:ascii="Arial MT" w:eastAsia="Arial MT" w:hAnsi="Arial MT" w:cs="Arial MT"/>
          <w:spacing w:val="-14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jóvenes</w:t>
      </w:r>
      <w:r w:rsidRPr="00CE5936">
        <w:rPr>
          <w:rFonts w:ascii="Arial MT" w:eastAsia="Arial MT" w:hAnsi="Arial MT" w:cs="Arial MT"/>
          <w:spacing w:val="-14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(NNAJ),</w:t>
      </w:r>
      <w:r w:rsidRPr="00CE5936">
        <w:rPr>
          <w:rFonts w:ascii="Arial MT" w:eastAsia="Arial MT" w:hAnsi="Arial MT" w:cs="Arial MT"/>
          <w:spacing w:val="-13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por medio de una transformación curricular y de un fortalecimiento pedagógico que incorpore el arte, la cultura, el deporte, la actividad física, la ciencia, el pensamiento histórico,</w:t>
      </w:r>
      <w:r w:rsidRPr="00CE5936">
        <w:rPr>
          <w:rFonts w:ascii="Arial MT" w:eastAsia="Arial MT" w:hAnsi="Arial MT" w:cs="Arial MT"/>
          <w:spacing w:val="-5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tecnología,</w:t>
      </w:r>
      <w:r w:rsidRPr="00CE5936">
        <w:rPr>
          <w:rFonts w:ascii="Arial MT" w:eastAsia="Arial MT" w:hAnsi="Arial MT" w:cs="Arial MT"/>
          <w:spacing w:val="-6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innovación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y</w:t>
      </w:r>
      <w:r w:rsidRPr="00CE5936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estrategia</w:t>
      </w:r>
      <w:r w:rsidRPr="00CE5936">
        <w:rPr>
          <w:rFonts w:ascii="Arial MT" w:eastAsia="Arial MT" w:hAnsi="Arial MT" w:cs="Arial MT"/>
          <w:spacing w:val="-5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educación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CRESE</w:t>
      </w:r>
      <w:r w:rsidRPr="00CE5936">
        <w:rPr>
          <w:rFonts w:ascii="Arial MT" w:eastAsia="Arial MT" w:hAnsi="Arial MT" w:cs="Arial MT"/>
          <w:spacing w:val="-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a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través</w:t>
      </w:r>
      <w:r w:rsidRPr="00CE5936">
        <w:rPr>
          <w:rFonts w:ascii="Arial MT" w:eastAsia="Arial MT" w:hAnsi="Arial MT" w:cs="Arial MT"/>
          <w:spacing w:val="-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de sus cinco principios los cuales se describen a continuación:</w:t>
      </w:r>
    </w:p>
    <w:p w:rsidR="00CE5936" w:rsidRPr="00CE5936" w:rsidRDefault="00CE5936" w:rsidP="00CE5936">
      <w:pPr>
        <w:widowControl w:val="0"/>
        <w:numPr>
          <w:ilvl w:val="3"/>
          <w:numId w:val="1"/>
        </w:numPr>
        <w:tabs>
          <w:tab w:val="left" w:pos="1339"/>
        </w:tabs>
        <w:autoSpaceDE w:val="0"/>
        <w:autoSpaceDN w:val="0"/>
        <w:spacing w:before="1" w:after="0" w:line="240" w:lineRule="auto"/>
        <w:ind w:left="1339" w:hanging="359"/>
        <w:jc w:val="both"/>
        <w:rPr>
          <w:rFonts w:ascii="Arial MT" w:eastAsia="Arial MT" w:hAnsi="Arial MT" w:cs="Arial MT"/>
          <w:sz w:val="24"/>
          <w:lang w:val="es-ES"/>
        </w:rPr>
      </w:pPr>
      <w:r w:rsidRPr="00CE5936">
        <w:rPr>
          <w:rFonts w:ascii="Arial MT" w:eastAsia="Arial MT" w:hAnsi="Arial MT" w:cs="Arial MT"/>
          <w:sz w:val="24"/>
          <w:lang w:val="es-ES"/>
        </w:rPr>
        <w:t>Educación</w:t>
      </w:r>
      <w:r w:rsidRPr="00CE5936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pacing w:val="-2"/>
          <w:sz w:val="24"/>
          <w:lang w:val="es-ES"/>
        </w:rPr>
        <w:t>Ciudadana</w:t>
      </w:r>
    </w:p>
    <w:p w:rsidR="00CE5936" w:rsidRPr="00CE5936" w:rsidRDefault="00CE5936" w:rsidP="00CE5936">
      <w:pPr>
        <w:widowControl w:val="0"/>
        <w:autoSpaceDE w:val="0"/>
        <w:autoSpaceDN w:val="0"/>
        <w:spacing w:before="19" w:after="0" w:line="240" w:lineRule="auto"/>
        <w:rPr>
          <w:rFonts w:ascii="Times New Roman" w:eastAsia="Arial MT" w:hAnsi="Arial MT" w:cs="Arial MT"/>
          <w:b/>
          <w:sz w:val="24"/>
          <w:szCs w:val="24"/>
          <w:lang w:val="es-ES"/>
        </w:rPr>
      </w:pPr>
    </w:p>
    <w:p w:rsidR="00CE5936" w:rsidRPr="00CE5936" w:rsidRDefault="00CE5936" w:rsidP="00CE5936">
      <w:pPr>
        <w:widowControl w:val="0"/>
        <w:numPr>
          <w:ilvl w:val="3"/>
          <w:numId w:val="1"/>
        </w:numPr>
        <w:tabs>
          <w:tab w:val="left" w:pos="1340"/>
        </w:tabs>
        <w:autoSpaceDE w:val="0"/>
        <w:autoSpaceDN w:val="0"/>
        <w:spacing w:after="0" w:line="277" w:lineRule="exact"/>
        <w:ind w:left="1340" w:hanging="360"/>
        <w:rPr>
          <w:rFonts w:ascii="Arial MT" w:eastAsia="Arial MT" w:hAnsi="Arial MT" w:cs="Arial MT"/>
          <w:sz w:val="24"/>
          <w:lang w:val="es-ES"/>
        </w:rPr>
      </w:pPr>
      <w:r w:rsidRPr="00CE5936">
        <w:rPr>
          <w:rFonts w:ascii="Arial MT" w:eastAsia="Arial MT" w:hAnsi="Arial MT" w:cs="Arial MT"/>
          <w:spacing w:val="-2"/>
          <w:sz w:val="24"/>
          <w:lang w:val="es-ES"/>
        </w:rPr>
        <w:t>Reconciliación</w:t>
      </w:r>
    </w:p>
    <w:p w:rsidR="00CE5936" w:rsidRPr="00CE5936" w:rsidRDefault="00CE5936" w:rsidP="00CE5936">
      <w:pPr>
        <w:widowControl w:val="0"/>
        <w:numPr>
          <w:ilvl w:val="3"/>
          <w:numId w:val="1"/>
        </w:numPr>
        <w:tabs>
          <w:tab w:val="left" w:pos="1340"/>
        </w:tabs>
        <w:autoSpaceDE w:val="0"/>
        <w:autoSpaceDN w:val="0"/>
        <w:spacing w:after="0" w:line="276" w:lineRule="exact"/>
        <w:ind w:left="1340" w:hanging="360"/>
        <w:rPr>
          <w:rFonts w:ascii="Arial MT" w:eastAsia="Arial MT" w:hAnsi="Arial MT" w:cs="Arial MT"/>
          <w:sz w:val="24"/>
          <w:lang w:val="es-ES"/>
        </w:rPr>
      </w:pPr>
      <w:r w:rsidRPr="00CE5936">
        <w:rPr>
          <w:rFonts w:ascii="Arial MT" w:eastAsia="Arial MT" w:hAnsi="Arial MT" w:cs="Arial MT"/>
          <w:spacing w:val="-2"/>
          <w:sz w:val="24"/>
          <w:lang w:val="es-ES"/>
        </w:rPr>
        <w:t>Socioemocional</w:t>
      </w:r>
    </w:p>
    <w:p w:rsidR="00CE5936" w:rsidRPr="00CE5936" w:rsidRDefault="00CE5936" w:rsidP="00CE5936">
      <w:pPr>
        <w:widowControl w:val="0"/>
        <w:numPr>
          <w:ilvl w:val="3"/>
          <w:numId w:val="1"/>
        </w:numPr>
        <w:tabs>
          <w:tab w:val="left" w:pos="1340"/>
        </w:tabs>
        <w:autoSpaceDE w:val="0"/>
        <w:autoSpaceDN w:val="0"/>
        <w:spacing w:after="0" w:line="276" w:lineRule="exact"/>
        <w:ind w:left="1340" w:hanging="360"/>
        <w:rPr>
          <w:rFonts w:ascii="Arial MT" w:eastAsia="Arial MT" w:hAnsi="Arial MT" w:cs="Arial MT"/>
          <w:sz w:val="24"/>
          <w:lang w:val="es-ES"/>
        </w:rPr>
      </w:pPr>
      <w:r w:rsidRPr="00CE5936">
        <w:rPr>
          <w:rFonts w:ascii="Arial MT" w:eastAsia="Arial MT" w:hAnsi="Arial MT" w:cs="Arial MT"/>
          <w:spacing w:val="-2"/>
          <w:sz w:val="24"/>
          <w:lang w:val="es-ES"/>
        </w:rPr>
        <w:t>Antirracista</w:t>
      </w:r>
    </w:p>
    <w:p w:rsidR="00CE5936" w:rsidRPr="00CE5936" w:rsidRDefault="00CE5936" w:rsidP="00CE5936">
      <w:pPr>
        <w:widowControl w:val="0"/>
        <w:numPr>
          <w:ilvl w:val="3"/>
          <w:numId w:val="1"/>
        </w:numPr>
        <w:tabs>
          <w:tab w:val="left" w:pos="1340"/>
        </w:tabs>
        <w:autoSpaceDE w:val="0"/>
        <w:autoSpaceDN w:val="0"/>
        <w:spacing w:after="0" w:line="277" w:lineRule="exact"/>
        <w:ind w:left="1340" w:hanging="360"/>
        <w:rPr>
          <w:rFonts w:ascii="Arial MT" w:eastAsia="Arial MT" w:hAnsi="Arial MT" w:cs="Arial MT"/>
          <w:sz w:val="24"/>
          <w:lang w:val="es-ES"/>
        </w:rPr>
      </w:pPr>
      <w:r w:rsidRPr="00CE5936">
        <w:rPr>
          <w:rFonts w:ascii="Arial MT" w:eastAsia="Arial MT" w:hAnsi="Arial MT" w:cs="Arial MT"/>
          <w:sz w:val="24"/>
          <w:lang w:val="es-ES"/>
        </w:rPr>
        <w:t>Cambio</w:t>
      </w:r>
      <w:r w:rsidRPr="00CE5936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pacing w:val="-2"/>
          <w:sz w:val="24"/>
          <w:lang w:val="es-ES"/>
        </w:rPr>
        <w:t>climático</w:t>
      </w:r>
    </w:p>
    <w:p w:rsidR="00CE5936" w:rsidRDefault="00CE5936" w:rsidP="00417615">
      <w:pPr>
        <w:widowControl w:val="0"/>
        <w:autoSpaceDE w:val="0"/>
        <w:autoSpaceDN w:val="0"/>
        <w:spacing w:before="275" w:after="0" w:line="240" w:lineRule="auto"/>
        <w:ind w:left="620" w:right="742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E5936">
        <w:rPr>
          <w:rFonts w:ascii="Arial MT" w:eastAsia="Arial MT" w:hAnsi="Arial MT" w:cs="Arial MT"/>
          <w:sz w:val="24"/>
          <w:szCs w:val="24"/>
          <w:lang w:val="es-ES"/>
        </w:rPr>
        <w:t>Estos 5 principios se han integrado dentro de las prácticas pedagógicas a través de los</w:t>
      </w:r>
      <w:r w:rsidRPr="00CE5936">
        <w:rPr>
          <w:rFonts w:ascii="Arial MT" w:eastAsia="Arial MT" w:hAnsi="Arial MT" w:cs="Arial MT"/>
          <w:spacing w:val="-10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centros</w:t>
      </w:r>
      <w:r w:rsidRPr="00CE5936">
        <w:rPr>
          <w:rFonts w:ascii="Arial MT" w:eastAsia="Arial MT" w:hAnsi="Arial MT" w:cs="Arial MT"/>
          <w:spacing w:val="-10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CE5936">
        <w:rPr>
          <w:rFonts w:ascii="Arial MT" w:eastAsia="Arial MT" w:hAnsi="Arial MT" w:cs="Arial MT"/>
          <w:spacing w:val="-12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interés.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Para</w:t>
      </w:r>
      <w:r w:rsidRPr="00CE5936">
        <w:rPr>
          <w:rFonts w:ascii="Arial MT" w:eastAsia="Arial MT" w:hAnsi="Arial MT" w:cs="Arial MT"/>
          <w:spacing w:val="-12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esto,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CE5936">
        <w:rPr>
          <w:rFonts w:ascii="Arial MT" w:eastAsia="Arial MT" w:hAnsi="Arial MT" w:cs="Arial MT"/>
          <w:spacing w:val="-11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programa</w:t>
      </w:r>
      <w:r w:rsidRPr="00CE5936">
        <w:rPr>
          <w:rFonts w:ascii="Arial MT" w:eastAsia="Arial MT" w:hAnsi="Arial MT" w:cs="Arial MT"/>
          <w:spacing w:val="-12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será</w:t>
      </w:r>
      <w:r w:rsidRPr="00CE5936">
        <w:rPr>
          <w:rFonts w:ascii="Arial MT" w:eastAsia="Arial MT" w:hAnsi="Arial MT" w:cs="Arial MT"/>
          <w:spacing w:val="-12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puesto</w:t>
      </w:r>
      <w:r w:rsidRPr="00CE5936">
        <w:rPr>
          <w:rFonts w:ascii="Arial MT" w:eastAsia="Arial MT" w:hAnsi="Arial MT" w:cs="Arial MT"/>
          <w:spacing w:val="-12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CE5936">
        <w:rPr>
          <w:rFonts w:ascii="Arial MT" w:eastAsia="Arial MT" w:hAnsi="Arial MT" w:cs="Arial MT"/>
          <w:spacing w:val="-8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práctica</w:t>
      </w:r>
      <w:r w:rsidRPr="00CE5936">
        <w:rPr>
          <w:rFonts w:ascii="Arial MT" w:eastAsia="Arial MT" w:hAnsi="Arial MT" w:cs="Arial MT"/>
          <w:spacing w:val="-12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por</w:t>
      </w:r>
      <w:r w:rsidRPr="00CE5936">
        <w:rPr>
          <w:rFonts w:ascii="Arial MT" w:eastAsia="Arial MT" w:hAnsi="Arial MT" w:cs="Arial MT"/>
          <w:spacing w:val="-10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CE5936">
        <w:rPr>
          <w:rFonts w:ascii="Arial MT" w:eastAsia="Arial MT" w:hAnsi="Arial MT" w:cs="Arial MT"/>
          <w:spacing w:val="-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Ministerio de</w:t>
      </w:r>
      <w:r w:rsidRPr="00CE5936">
        <w:rPr>
          <w:rFonts w:ascii="Arial MT" w:eastAsia="Arial MT" w:hAnsi="Arial MT" w:cs="Arial MT"/>
          <w:spacing w:val="-1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Educación</w:t>
      </w:r>
      <w:r w:rsidRPr="00CE5936">
        <w:rPr>
          <w:rFonts w:ascii="Arial MT" w:eastAsia="Arial MT" w:hAnsi="Arial MT" w:cs="Arial MT"/>
          <w:spacing w:val="-1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Nacional</w:t>
      </w:r>
      <w:r w:rsidRPr="00CE5936">
        <w:rPr>
          <w:rFonts w:ascii="Arial MT" w:eastAsia="Arial MT" w:hAnsi="Arial MT" w:cs="Arial MT"/>
          <w:spacing w:val="-12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CE5936">
        <w:rPr>
          <w:rFonts w:ascii="Arial MT" w:eastAsia="Arial MT" w:hAnsi="Arial MT" w:cs="Arial MT"/>
          <w:spacing w:val="-1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coordinación</w:t>
      </w:r>
      <w:r w:rsidRPr="00CE5936">
        <w:rPr>
          <w:rFonts w:ascii="Arial MT" w:eastAsia="Arial MT" w:hAnsi="Arial MT" w:cs="Arial MT"/>
          <w:spacing w:val="-1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con</w:t>
      </w:r>
      <w:r w:rsidRPr="00CE5936">
        <w:rPr>
          <w:rFonts w:ascii="Arial MT" w:eastAsia="Arial MT" w:hAnsi="Arial MT" w:cs="Arial MT"/>
          <w:spacing w:val="-16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las</w:t>
      </w:r>
      <w:r w:rsidRPr="00CE5936">
        <w:rPr>
          <w:rFonts w:ascii="Arial MT" w:eastAsia="Arial MT" w:hAnsi="Arial MT" w:cs="Arial MT"/>
          <w:spacing w:val="-15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Entidades</w:t>
      </w:r>
      <w:r w:rsidRPr="00CE5936">
        <w:rPr>
          <w:rFonts w:ascii="Arial MT" w:eastAsia="Arial MT" w:hAnsi="Arial MT" w:cs="Arial MT"/>
          <w:spacing w:val="-15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Territoriales</w:t>
      </w:r>
      <w:r w:rsidRPr="00CE5936">
        <w:rPr>
          <w:rFonts w:ascii="Arial MT" w:eastAsia="Arial MT" w:hAnsi="Arial MT" w:cs="Arial MT"/>
          <w:spacing w:val="-11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Certificadas</w:t>
      </w:r>
      <w:r w:rsidRPr="00CE5936">
        <w:rPr>
          <w:rFonts w:ascii="Arial MT" w:eastAsia="Arial MT" w:hAnsi="Arial MT" w:cs="Arial MT"/>
          <w:spacing w:val="-8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 xml:space="preserve">en Educación, y realizará un trabajo </w:t>
      </w:r>
      <w:proofErr w:type="spellStart"/>
      <w:r w:rsidRPr="00CE5936">
        <w:rPr>
          <w:rFonts w:ascii="Arial MT" w:eastAsia="Arial MT" w:hAnsi="Arial MT" w:cs="Arial MT"/>
          <w:sz w:val="24"/>
          <w:szCs w:val="24"/>
          <w:lang w:val="es-ES"/>
        </w:rPr>
        <w:t>intral</w:t>
      </w:r>
      <w:proofErr w:type="spellEnd"/>
      <w:r w:rsidRPr="00CE5936">
        <w:rPr>
          <w:rFonts w:ascii="Arial MT" w:eastAsia="Arial MT" w:hAnsi="Arial MT" w:cs="Arial MT"/>
          <w:sz w:val="24"/>
          <w:szCs w:val="24"/>
          <w:lang w:val="es-ES"/>
        </w:rPr>
        <w:t xml:space="preserve"> e intersectorial con entidades públicas y privadas</w:t>
      </w:r>
      <w:r w:rsidRPr="00CE5936">
        <w:rPr>
          <w:rFonts w:ascii="Arial MT" w:eastAsia="Arial MT" w:hAnsi="Arial MT" w:cs="Arial MT"/>
          <w:spacing w:val="-8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comprometidas</w:t>
      </w:r>
      <w:r w:rsidRPr="00CE5936">
        <w:rPr>
          <w:rFonts w:ascii="Arial MT" w:eastAsia="Arial MT" w:hAnsi="Arial MT" w:cs="Arial MT"/>
          <w:spacing w:val="-8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con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CE5936">
        <w:rPr>
          <w:rFonts w:ascii="Arial MT" w:eastAsia="Arial MT" w:hAnsi="Arial MT" w:cs="Arial MT"/>
          <w:spacing w:val="-8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desarrollo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integral,</w:t>
      </w:r>
      <w:r w:rsidRPr="00CE5936">
        <w:rPr>
          <w:rFonts w:ascii="Arial MT" w:eastAsia="Arial MT" w:hAnsi="Arial MT" w:cs="Arial MT"/>
          <w:spacing w:val="-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CE5936">
        <w:rPr>
          <w:rFonts w:ascii="Arial MT" w:eastAsia="Arial MT" w:hAnsi="Arial MT" w:cs="Arial MT"/>
          <w:spacing w:val="-8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aprendizaje,</w:t>
      </w:r>
      <w:r w:rsidRPr="00CE5936">
        <w:rPr>
          <w:rFonts w:ascii="Arial MT" w:eastAsia="Arial MT" w:hAnsi="Arial MT" w:cs="Arial MT"/>
          <w:spacing w:val="-7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protección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CE5936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CE5936">
        <w:rPr>
          <w:rFonts w:ascii="Arial MT" w:eastAsia="Arial MT" w:hAnsi="Arial MT" w:cs="Arial MT"/>
          <w:sz w:val="24"/>
          <w:szCs w:val="24"/>
          <w:lang w:val="es-ES"/>
        </w:rPr>
        <w:t>las trayectorias de vida y la garantía de los derechos de los NNAJ.</w:t>
      </w:r>
    </w:p>
    <w:p w:rsidR="00417615" w:rsidRPr="00CE5936" w:rsidRDefault="00417615" w:rsidP="00417615">
      <w:pPr>
        <w:widowControl w:val="0"/>
        <w:autoSpaceDE w:val="0"/>
        <w:autoSpaceDN w:val="0"/>
        <w:spacing w:before="275" w:after="0" w:line="240" w:lineRule="auto"/>
        <w:ind w:left="620" w:right="742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El marco legal del Programa de Tutorías para el Aprendizaje y la Formación Integral (PTA/FI 3.0) en Colombia se sustenta en directivas y resoluciones del </w:t>
      </w:r>
      <w:hyperlink r:id="rId7" w:tgtFrame="_blank" w:history="1">
        <w:r w:rsidRPr="00CE5936">
          <w:rPr>
            <w:rFonts w:ascii="Arial MT" w:eastAsia="Arial MT" w:hAnsi="Arial MT" w:cs="Arial MT"/>
            <w:b/>
            <w:bCs/>
            <w:sz w:val="24"/>
            <w:szCs w:val="24"/>
          </w:rPr>
          <w:t>Ministerio de Educación Nacional (MEN)</w:t>
        </w:r>
      </w:hyperlink>
      <w:r w:rsidRPr="00CE5936">
        <w:rPr>
          <w:rFonts w:ascii="Arial MT" w:eastAsia="Arial MT" w:hAnsi="Arial MT" w:cs="Arial MT"/>
          <w:sz w:val="24"/>
          <w:szCs w:val="24"/>
        </w:rPr>
        <w:t> y las Secretarías de Educación, siendo la </w:t>
      </w:r>
      <w:hyperlink r:id="rId8" w:history="1">
        <w:r w:rsidRPr="00CE5936">
          <w:rPr>
            <w:rFonts w:ascii="Arial MT" w:eastAsia="Arial MT" w:hAnsi="Arial MT" w:cs="Arial MT"/>
            <w:b/>
            <w:bCs/>
            <w:sz w:val="24"/>
            <w:szCs w:val="24"/>
          </w:rPr>
          <w:t>Directiva 03 de 2023</w:t>
        </w:r>
      </w:hyperlink>
      <w:r w:rsidRPr="00CE5936">
        <w:rPr>
          <w:rFonts w:ascii="Arial MT" w:eastAsia="Arial MT" w:hAnsi="Arial MT" w:cs="Arial MT"/>
          <w:sz w:val="24"/>
          <w:szCs w:val="24"/>
        </w:rPr>
        <w:t> clave para sus lineamientos, buscando fortalecer la calidad educativa mediante el acompañamiento a docentes y estudiantes en zonas rurales y urbanas, con un enfoque en la formación integral (arte, cultura, deporte, tecnología, etc.) y la estrategia </w:t>
      </w:r>
      <w:hyperlink r:id="rId9" w:history="1">
        <w:r w:rsidRPr="00CE5936">
          <w:rPr>
            <w:rFonts w:ascii="Arial MT" w:eastAsia="Arial MT" w:hAnsi="Arial MT" w:cs="Arial MT"/>
            <w:b/>
            <w:bCs/>
            <w:sz w:val="24"/>
            <w:szCs w:val="24"/>
          </w:rPr>
          <w:t>Educación Crese</w:t>
        </w:r>
      </w:hyperlink>
      <w:r w:rsidRPr="00CE5936">
        <w:rPr>
          <w:rFonts w:ascii="Arial MT" w:eastAsia="Arial MT" w:hAnsi="Arial MT" w:cs="Arial MT"/>
          <w:sz w:val="24"/>
          <w:szCs w:val="24"/>
        </w:rPr>
        <w:t>, que promueve la reconciliación y la ciudadanía. </w:t>
      </w:r>
    </w:p>
    <w:p w:rsidR="00CE5936" w:rsidRPr="00CE5936" w:rsidRDefault="00CE5936" w:rsidP="00CE5936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El PTA/FI 3.0 es una estrategia nacional con soporte en normativas recientes para transformar la educación colombiana, haciendo de la tutoría y la formación integral un eje central. </w:t>
      </w:r>
    </w:p>
    <w:p w:rsidR="00CE5936" w:rsidRPr="00CE5936" w:rsidRDefault="00CE5936" w:rsidP="00CE593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1.8.1.1.  Marco Normativo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Default="00CE5936" w:rsidP="00CE59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 xml:space="preserve">Los Centros de Interés: </w:t>
      </w:r>
      <w:r w:rsidRPr="00CE5936">
        <w:rPr>
          <w:rFonts w:ascii="Arial MT" w:eastAsia="Arial MT" w:hAnsi="Arial MT" w:cs="Arial MT"/>
          <w:b/>
          <w:bCs/>
          <w:sz w:val="24"/>
          <w:szCs w:val="24"/>
        </w:rPr>
        <w:t>Medio Ambiente</w:t>
      </w:r>
      <w:r w:rsidRPr="00CE5936">
        <w:rPr>
          <w:rFonts w:ascii="Arial MT" w:eastAsia="Arial MT" w:hAnsi="Arial MT" w:cs="Arial MT"/>
          <w:sz w:val="24"/>
          <w:szCs w:val="24"/>
        </w:rPr>
        <w:t xml:space="preserve">, </w:t>
      </w:r>
      <w:r w:rsidRPr="00CE5936">
        <w:rPr>
          <w:rFonts w:ascii="Arial MT" w:eastAsia="Arial MT" w:hAnsi="Arial MT" w:cs="Arial MT"/>
          <w:b/>
          <w:bCs/>
          <w:sz w:val="24"/>
          <w:szCs w:val="24"/>
        </w:rPr>
        <w:t>Deporte y Salud</w:t>
      </w:r>
      <w:r w:rsidRPr="00CE5936">
        <w:rPr>
          <w:rFonts w:ascii="Arial MT" w:eastAsia="Arial MT" w:hAnsi="Arial MT" w:cs="Arial MT"/>
          <w:sz w:val="24"/>
          <w:szCs w:val="24"/>
        </w:rPr>
        <w:t xml:space="preserve">, </w:t>
      </w:r>
      <w:r w:rsidRPr="00CE5936">
        <w:rPr>
          <w:rFonts w:ascii="Arial MT" w:eastAsia="Arial MT" w:hAnsi="Arial MT" w:cs="Arial MT"/>
          <w:b/>
          <w:bCs/>
          <w:sz w:val="24"/>
          <w:szCs w:val="24"/>
        </w:rPr>
        <w:t>LEOBE</w:t>
      </w:r>
      <w:r w:rsidRPr="00CE5936">
        <w:rPr>
          <w:rFonts w:ascii="Arial MT" w:eastAsia="Arial MT" w:hAnsi="Arial MT" w:cs="Arial MT"/>
          <w:sz w:val="24"/>
          <w:szCs w:val="24"/>
        </w:rPr>
        <w:t xml:space="preserve"> y el </w:t>
      </w:r>
      <w:r w:rsidRPr="00CE5936">
        <w:rPr>
          <w:rFonts w:ascii="Arial MT" w:eastAsia="Arial MT" w:hAnsi="Arial MT" w:cs="Arial MT"/>
          <w:b/>
          <w:bCs/>
          <w:sz w:val="24"/>
          <w:szCs w:val="24"/>
        </w:rPr>
        <w:t>Proyecto CRESE</w:t>
      </w:r>
      <w:r w:rsidRPr="00CE5936">
        <w:rPr>
          <w:rFonts w:ascii="Arial MT" w:eastAsia="Arial MT" w:hAnsi="Arial MT" w:cs="Arial MT"/>
          <w:sz w:val="24"/>
          <w:szCs w:val="24"/>
        </w:rPr>
        <w:t xml:space="preserve"> se </w:t>
      </w:r>
      <w:r w:rsidRPr="00CE5936">
        <w:rPr>
          <w:rFonts w:ascii="Arial MT" w:eastAsia="Arial MT" w:hAnsi="Arial MT" w:cs="Arial MT"/>
          <w:sz w:val="24"/>
          <w:szCs w:val="24"/>
        </w:rPr>
        <w:lastRenderedPageBreak/>
        <w:t>fundamentan en la normatividad vigente del sistema educativo colombiano, especialmente en:</w:t>
      </w:r>
    </w:p>
    <w:p w:rsidR="00480059" w:rsidRPr="00CE5936" w:rsidRDefault="00480059" w:rsidP="00CE59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bookmarkStart w:id="0" w:name="_GoBack"/>
      <w:bookmarkEnd w:id="0"/>
    </w:p>
    <w:p w:rsidR="00CE5936" w:rsidRPr="00CE5936" w:rsidRDefault="00CE5936" w:rsidP="00CE593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Constitución Política de Colombia (1991)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Artículos 44, 67 y 79: derecho a la educación, desarrollo integral, salud, recreación y protección del medio ambiente.</w:t>
      </w:r>
    </w:p>
    <w:p w:rsidR="00CE5936" w:rsidRPr="00CE5936" w:rsidRDefault="00CE5936" w:rsidP="00CE593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Ley 115 de 1994 – Ley General de Educación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-Art. 5: Fines de la educación.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-Art. 13 y 14: Formación ética, valores, convivencia, educación ambiental, educación para la salud, aprovechamiento del tiempo libre.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-Art. 76 y 77: Autonomía escolar y organización curricular.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</w:p>
    <w:p w:rsidR="00CE5936" w:rsidRPr="00DF0BA6" w:rsidRDefault="00CE5936" w:rsidP="00CE593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Decreto 1860 de 1994</w:t>
      </w:r>
    </w:p>
    <w:p w:rsidR="00CE5936" w:rsidRPr="00DF0BA6" w:rsidRDefault="00CE5936" w:rsidP="00CE5936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DF0BA6">
        <w:rPr>
          <w:rFonts w:ascii="Arial MT" w:eastAsia="Arial MT" w:hAnsi="Arial MT" w:cs="Arial MT"/>
          <w:sz w:val="24"/>
          <w:szCs w:val="24"/>
        </w:rPr>
        <w:t>Reglamenta el PEI y permite la implementación de proyectos pedagógicos</w:t>
      </w:r>
    </w:p>
    <w:p w:rsidR="00CE5936" w:rsidRPr="00DF0BA6" w:rsidRDefault="00CE5936" w:rsidP="00CE593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transversales y estrategias flexibles como los Centros de Interés.</w:t>
      </w:r>
    </w:p>
    <w:p w:rsidR="00EC0C8A" w:rsidRPr="00CE5936" w:rsidRDefault="00EC0C8A" w:rsidP="00EC0C8A">
      <w:pPr>
        <w:widowControl w:val="0"/>
        <w:autoSpaceDE w:val="0"/>
        <w:autoSpaceDN w:val="0"/>
        <w:spacing w:before="1" w:after="0" w:line="240" w:lineRule="auto"/>
        <w:ind w:left="720"/>
        <w:rPr>
          <w:rFonts w:ascii="Arial MT" w:eastAsia="Arial MT" w:hAnsi="Arial MT" w:cs="Arial MT"/>
          <w:sz w:val="24"/>
          <w:szCs w:val="24"/>
        </w:rPr>
      </w:pPr>
    </w:p>
    <w:p w:rsidR="00CE5936" w:rsidRPr="00DF0BA6" w:rsidRDefault="00CE5936" w:rsidP="00CE593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Decreto 1290 de 2009</w:t>
      </w:r>
      <w:r w:rsidRPr="00CE5936">
        <w:rPr>
          <w:rFonts w:ascii="Arial MT" w:eastAsia="Arial MT" w:hAnsi="Arial MT" w:cs="Arial MT"/>
          <w:sz w:val="24"/>
          <w:szCs w:val="24"/>
        </w:rPr>
        <w:br/>
        <w:t>Evaluación con enfoque formativo, integral y por competencias.</w:t>
      </w:r>
    </w:p>
    <w:p w:rsidR="00EC0C8A" w:rsidRPr="00CE5936" w:rsidRDefault="00EC0C8A" w:rsidP="00EC0C8A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Ley 1620 de 2013</w:t>
      </w:r>
      <w:r w:rsidRPr="00CE5936">
        <w:rPr>
          <w:rFonts w:ascii="Arial MT" w:eastAsia="Arial MT" w:hAnsi="Arial MT" w:cs="Arial MT"/>
          <w:sz w:val="24"/>
          <w:szCs w:val="24"/>
        </w:rPr>
        <w:t xml:space="preserve"> y </w:t>
      </w:r>
      <w:r w:rsidRPr="00CE5936">
        <w:rPr>
          <w:rFonts w:ascii="Arial MT" w:eastAsia="Arial MT" w:hAnsi="Arial MT" w:cs="Arial MT"/>
          <w:b/>
          <w:bCs/>
          <w:sz w:val="24"/>
          <w:szCs w:val="24"/>
        </w:rPr>
        <w:t>Decreto 1965 de 2013</w:t>
      </w:r>
    </w:p>
    <w:p w:rsidR="00CE5936" w:rsidRPr="00DF0BA6" w:rsidRDefault="00CE5936" w:rsidP="00EC0C8A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DF0BA6">
        <w:rPr>
          <w:rFonts w:ascii="Arial MT" w:eastAsia="Arial MT" w:hAnsi="Arial MT" w:cs="Arial MT"/>
          <w:sz w:val="24"/>
          <w:szCs w:val="24"/>
        </w:rPr>
        <w:t>Sistema Nacional de Convivencia Escolar, educación para la ciudadanía, la paz y la prevención de la violencia escolar (soporte del Proyecto CRESE).</w:t>
      </w:r>
    </w:p>
    <w:p w:rsidR="00EC0C8A" w:rsidRPr="00DF0BA6" w:rsidRDefault="00EC0C8A" w:rsidP="00EC0C8A">
      <w:pPr>
        <w:pStyle w:val="Prrafodelista"/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</w:p>
    <w:p w:rsidR="00CE5936" w:rsidRPr="00DF0BA6" w:rsidRDefault="00CE5936" w:rsidP="00CE593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Lineamientos de Educación Ambiental (MEN)</w:t>
      </w:r>
      <w:r w:rsidRPr="00CE5936">
        <w:rPr>
          <w:rFonts w:ascii="Arial MT" w:eastAsia="Arial MT" w:hAnsi="Arial MT" w:cs="Arial MT"/>
          <w:sz w:val="24"/>
          <w:szCs w:val="24"/>
        </w:rPr>
        <w:br/>
        <w:t>Implementación de PRAE y cultura ambiental escolar.</w:t>
      </w:r>
    </w:p>
    <w:p w:rsidR="00EC0C8A" w:rsidRPr="00CE5936" w:rsidRDefault="00EC0C8A" w:rsidP="00EC0C8A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DF0BA6" w:rsidRDefault="00CE5936" w:rsidP="00CE593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Lineamientos de Educación Física, Recreación y Deporte (MEN)</w:t>
      </w:r>
      <w:r w:rsidRPr="00CE5936">
        <w:rPr>
          <w:rFonts w:ascii="Arial MT" w:eastAsia="Arial MT" w:hAnsi="Arial MT" w:cs="Arial MT"/>
          <w:sz w:val="24"/>
          <w:szCs w:val="24"/>
        </w:rPr>
        <w:br/>
        <w:t>Promoción de hábitos de vida saludable.</w:t>
      </w:r>
    </w:p>
    <w:p w:rsidR="00EC0C8A" w:rsidRPr="00CE5936" w:rsidRDefault="00EC0C8A" w:rsidP="00EC0C8A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Plan Nacional de Lectura y Escritura</w:t>
      </w:r>
      <w:r w:rsidRPr="00CE5936">
        <w:rPr>
          <w:rFonts w:ascii="Arial MT" w:eastAsia="Arial MT" w:hAnsi="Arial MT" w:cs="Arial MT"/>
          <w:sz w:val="24"/>
          <w:szCs w:val="24"/>
        </w:rPr>
        <w:br/>
        <w:t>Fortalecimiento de competencias comunicativas (soporte del Centro LEOBE).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1.8.1.2. Fundamentación Pedagógica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 xml:space="preserve">Los Centros de Interés se conciben como una </w:t>
      </w:r>
      <w:r w:rsidRPr="00CE5936">
        <w:rPr>
          <w:rFonts w:ascii="Arial MT" w:eastAsia="Arial MT" w:hAnsi="Arial MT" w:cs="Arial MT"/>
          <w:b/>
          <w:bCs/>
          <w:sz w:val="24"/>
          <w:szCs w:val="24"/>
        </w:rPr>
        <w:t>estrategia pedagógica transversal</w:t>
      </w:r>
      <w:r w:rsidRPr="00CE5936">
        <w:rPr>
          <w:rFonts w:ascii="Arial MT" w:eastAsia="Arial MT" w:hAnsi="Arial MT" w:cs="Arial MT"/>
          <w:sz w:val="24"/>
          <w:szCs w:val="24"/>
        </w:rPr>
        <w:t xml:space="preserve">, flexible e inclusiva, que responde a la autonomía institucional contemplada en la Ley 115 de 1994. Su finalidad es contribuir al </w:t>
      </w:r>
      <w:r w:rsidRPr="00CE5936">
        <w:rPr>
          <w:rFonts w:ascii="Arial MT" w:eastAsia="Arial MT" w:hAnsi="Arial MT" w:cs="Arial MT"/>
          <w:b/>
          <w:bCs/>
          <w:sz w:val="24"/>
          <w:szCs w:val="24"/>
        </w:rPr>
        <w:t>desarrollo integral del estudiante</w:t>
      </w:r>
      <w:r w:rsidRPr="00CE5936">
        <w:rPr>
          <w:rFonts w:ascii="Arial MT" w:eastAsia="Arial MT" w:hAnsi="Arial MT" w:cs="Arial MT"/>
          <w:sz w:val="24"/>
          <w:szCs w:val="24"/>
        </w:rPr>
        <w:t xml:space="preserve"> en dimensiones cognitivas, físicas, sociales, emocionales, comunicativas y ciudadanas.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Estas estrategias permiten articular el currículo, los proyectos pedagógicos obligatorios y las competencias socioemocionales, fortaleciendo la formación en valores y la convivencia escolar.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1.8.1.3. Objetivos Generales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 xml:space="preserve">Contribuir al desarrollo integral de los estudiantes, conforme a los fines de la educación </w:t>
      </w:r>
      <w:r w:rsidRPr="00CE5936">
        <w:rPr>
          <w:rFonts w:ascii="Arial MT" w:eastAsia="Arial MT" w:hAnsi="Arial MT" w:cs="Arial MT"/>
          <w:sz w:val="24"/>
          <w:szCs w:val="24"/>
        </w:rPr>
        <w:lastRenderedPageBreak/>
        <w:t>establecidos en la Ley 115 de 1994.</w:t>
      </w:r>
    </w:p>
    <w:p w:rsidR="00CE5936" w:rsidRPr="00CE5936" w:rsidRDefault="00CE5936" w:rsidP="00CE5936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Fortalecer competencias básicas, ciudadanas y socioemocionales.</w:t>
      </w:r>
    </w:p>
    <w:p w:rsidR="00CE5936" w:rsidRPr="00CE5936" w:rsidRDefault="00CE5936" w:rsidP="00CE5936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Promover la educación ambiental, la salud, la actividad física y el bienestar emocional.</w:t>
      </w:r>
    </w:p>
    <w:p w:rsidR="00CE5936" w:rsidRPr="00CE5936" w:rsidRDefault="00CE5936" w:rsidP="00CE5936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Fomentar prácticas pedagógicas activas, participativas y contextualizadas.</w:t>
      </w:r>
    </w:p>
    <w:p w:rsidR="00CE5936" w:rsidRPr="00CE5936" w:rsidRDefault="00CE5936" w:rsidP="00CE5936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Prevenir situaciones de riesgo psicosocial y fortalecer la convivencia escolar.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1.8.1.4. Centros de Interés Institucionales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numPr>
          <w:ilvl w:val="0"/>
          <w:numId w:val="10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Centro de Interés: Medio Ambiente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Fundamento Normativo</w:t>
      </w:r>
      <w:r w:rsidRPr="00CE5936">
        <w:rPr>
          <w:rFonts w:ascii="Arial MT" w:eastAsia="Arial MT" w:hAnsi="Arial MT" w:cs="Arial MT"/>
          <w:sz w:val="24"/>
          <w:szCs w:val="24"/>
        </w:rPr>
        <w:br/>
        <w:t>Ley 115 de 1994 (Art. 5 y 14), Lineamientos de Educación Ambiental MEN, PRAE.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Objetivo</w:t>
      </w:r>
      <w:r w:rsidRPr="00CE5936">
        <w:rPr>
          <w:rFonts w:ascii="Arial MT" w:eastAsia="Arial MT" w:hAnsi="Arial MT" w:cs="Arial MT"/>
          <w:sz w:val="24"/>
          <w:szCs w:val="24"/>
        </w:rPr>
        <w:br/>
        <w:t>Formar estudiantes con conciencia ambiental, comprometidos con la protección y conservación del entorno natural.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Acciones Pedagógicas</w:t>
      </w:r>
    </w:p>
    <w:p w:rsidR="00CE5936" w:rsidRPr="00CE5936" w:rsidRDefault="00CE5936" w:rsidP="00CE5936">
      <w:pPr>
        <w:widowControl w:val="0"/>
        <w:numPr>
          <w:ilvl w:val="0"/>
          <w:numId w:val="4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Desarrollo del Proyecto Ambiental Escolar (PRAE).</w:t>
      </w:r>
    </w:p>
    <w:p w:rsidR="00CE5936" w:rsidRPr="00CE5936" w:rsidRDefault="00CE5936" w:rsidP="00CE5936">
      <w:pPr>
        <w:widowControl w:val="0"/>
        <w:numPr>
          <w:ilvl w:val="0"/>
          <w:numId w:val="4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Manejo adecuado de residuos sólidos y reciclaje.</w:t>
      </w:r>
    </w:p>
    <w:p w:rsidR="00CE5936" w:rsidRPr="00CE5936" w:rsidRDefault="00CE5936" w:rsidP="00CE5936">
      <w:pPr>
        <w:widowControl w:val="0"/>
        <w:numPr>
          <w:ilvl w:val="0"/>
          <w:numId w:val="4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Huertas escolares y cuidado de zonas verdes.</w:t>
      </w:r>
    </w:p>
    <w:p w:rsidR="00CE5936" w:rsidRPr="00CE5936" w:rsidRDefault="00CE5936" w:rsidP="00CE5936">
      <w:pPr>
        <w:widowControl w:val="0"/>
        <w:numPr>
          <w:ilvl w:val="0"/>
          <w:numId w:val="4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Campañas de ahorro de agua y energía.</w:t>
      </w:r>
    </w:p>
    <w:p w:rsidR="00CE5936" w:rsidRPr="00CE5936" w:rsidRDefault="00CE5936" w:rsidP="00CE5936">
      <w:pPr>
        <w:widowControl w:val="0"/>
        <w:numPr>
          <w:ilvl w:val="0"/>
          <w:numId w:val="4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Conmemoración de fechas ambientales.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Resultados Esperados</w:t>
      </w:r>
      <w:r w:rsidRPr="00CE5936">
        <w:rPr>
          <w:rFonts w:ascii="Arial MT" w:eastAsia="Arial MT" w:hAnsi="Arial MT" w:cs="Arial MT"/>
          <w:sz w:val="24"/>
          <w:szCs w:val="24"/>
        </w:rPr>
        <w:br/>
        <w:t>Estudiantes responsables con el medio ambiente y promotores de prácticas sostenibles en su comunidad.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numPr>
          <w:ilvl w:val="0"/>
          <w:numId w:val="10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Centro de Interés: Deporte y Salud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Fundamento Normativo</w:t>
      </w:r>
      <w:r w:rsidRPr="00CE5936">
        <w:rPr>
          <w:rFonts w:ascii="Arial MT" w:eastAsia="Arial MT" w:hAnsi="Arial MT" w:cs="Arial MT"/>
          <w:sz w:val="24"/>
          <w:szCs w:val="24"/>
        </w:rPr>
        <w:br/>
        <w:t>Ley 115 de 1994 (Art. 5 y 14), Lineamientos de Educación Física MEN, Constitución Política (Art. 44).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Objetivo</w:t>
      </w:r>
      <w:r w:rsidRPr="00CE5936">
        <w:rPr>
          <w:rFonts w:ascii="Arial MT" w:eastAsia="Arial MT" w:hAnsi="Arial MT" w:cs="Arial MT"/>
          <w:sz w:val="24"/>
          <w:szCs w:val="24"/>
        </w:rPr>
        <w:br/>
        <w:t>Promover hábitos de vida saludable, la actividad física y el adecuado uso del tiempo libre.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Acciones Pedagógicas</w:t>
      </w:r>
    </w:p>
    <w:p w:rsidR="00CE5936" w:rsidRPr="00CE5936" w:rsidRDefault="00CE5936" w:rsidP="00CE5936">
      <w:pPr>
        <w:widowControl w:val="0"/>
        <w:numPr>
          <w:ilvl w:val="0"/>
          <w:numId w:val="5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Práctica de actividades deportivas y recreativas.</w:t>
      </w:r>
    </w:p>
    <w:p w:rsidR="00CE5936" w:rsidRPr="00CE5936" w:rsidRDefault="00CE5936" w:rsidP="00CE5936">
      <w:pPr>
        <w:widowControl w:val="0"/>
        <w:numPr>
          <w:ilvl w:val="0"/>
          <w:numId w:val="5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Jornadas institucionales de deporte y recreación.</w:t>
      </w:r>
    </w:p>
    <w:p w:rsidR="00CE5936" w:rsidRPr="00CE5936" w:rsidRDefault="00CE5936" w:rsidP="00CE5936">
      <w:pPr>
        <w:widowControl w:val="0"/>
        <w:numPr>
          <w:ilvl w:val="0"/>
          <w:numId w:val="5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Educación para la salud y la prevención de enfermedades.</w:t>
      </w:r>
    </w:p>
    <w:p w:rsidR="00CE5936" w:rsidRPr="00CE5936" w:rsidRDefault="00CE5936" w:rsidP="00CE5936">
      <w:pPr>
        <w:widowControl w:val="0"/>
        <w:numPr>
          <w:ilvl w:val="0"/>
          <w:numId w:val="5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Promoción de la salud mental y el autocuidado.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Resultados Esperados</w:t>
      </w:r>
      <w:r w:rsidRPr="00CE5936">
        <w:rPr>
          <w:rFonts w:ascii="Arial MT" w:eastAsia="Arial MT" w:hAnsi="Arial MT" w:cs="Arial MT"/>
          <w:sz w:val="24"/>
          <w:szCs w:val="24"/>
        </w:rPr>
        <w:br/>
        <w:t xml:space="preserve">Mejoramiento del bienestar físico y emocional y fortalecimiento de valores como la disciplina y </w:t>
      </w:r>
      <w:r w:rsidRPr="00CE5936">
        <w:rPr>
          <w:rFonts w:ascii="Arial MT" w:eastAsia="Arial MT" w:hAnsi="Arial MT" w:cs="Arial MT"/>
          <w:sz w:val="24"/>
          <w:szCs w:val="24"/>
        </w:rPr>
        <w:lastRenderedPageBreak/>
        <w:t>el trabajo en equipo.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numPr>
          <w:ilvl w:val="0"/>
          <w:numId w:val="10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 xml:space="preserve">Centro de Interés: LEOBE </w:t>
      </w:r>
      <w:r w:rsidRPr="00CE5936">
        <w:rPr>
          <w:rFonts w:ascii="Arial MT" w:eastAsia="Arial MT" w:hAnsi="Arial MT" w:cs="Arial MT"/>
          <w:i/>
          <w:iCs/>
          <w:sz w:val="24"/>
          <w:szCs w:val="24"/>
        </w:rPr>
        <w:t>(Lectura, Escritura y Oralidad para el Bienestar Escolar)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Fundamento Normativo</w:t>
      </w:r>
      <w:r w:rsidRPr="00CE5936">
        <w:rPr>
          <w:rFonts w:ascii="Arial MT" w:eastAsia="Arial MT" w:hAnsi="Arial MT" w:cs="Arial MT"/>
          <w:sz w:val="24"/>
          <w:szCs w:val="24"/>
        </w:rPr>
        <w:br/>
        <w:t>Ley 115 de 1994, Lineamientos de Lenguaje MEN, Plan Nacional de Lectura y Escritura.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Objetivo</w:t>
      </w:r>
      <w:r w:rsidRPr="00CE5936">
        <w:rPr>
          <w:rFonts w:ascii="Arial MT" w:eastAsia="Arial MT" w:hAnsi="Arial MT" w:cs="Arial MT"/>
          <w:sz w:val="24"/>
          <w:szCs w:val="24"/>
        </w:rPr>
        <w:br/>
        <w:t>Fortalecer las competencias comunicativas como base del aprendizaje, la convivencia y la expresión emocional.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Acciones Pedagógicas</w:t>
      </w:r>
    </w:p>
    <w:p w:rsidR="00CE5936" w:rsidRPr="00CE5936" w:rsidRDefault="00CE5936" w:rsidP="00CE5936">
      <w:pPr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Espacios permanentes de lectura.</w:t>
      </w:r>
    </w:p>
    <w:p w:rsidR="00CE5936" w:rsidRPr="00CE5936" w:rsidRDefault="00CE5936" w:rsidP="00CE5936">
      <w:pPr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Producción escrita de diferentes tipos de texto.</w:t>
      </w:r>
    </w:p>
    <w:p w:rsidR="00CE5936" w:rsidRPr="00CE5936" w:rsidRDefault="00CE5936" w:rsidP="00CE5936">
      <w:pPr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Actividades de oralidad, narración y debate.</w:t>
      </w:r>
    </w:p>
    <w:p w:rsidR="00CE5936" w:rsidRPr="00CE5936" w:rsidRDefault="00CE5936" w:rsidP="00CE5936">
      <w:pPr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Estrategias de lectura para el bienestar emocional.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Resultados Esperados</w:t>
      </w:r>
      <w:r w:rsidRPr="00CE5936">
        <w:rPr>
          <w:rFonts w:ascii="Arial MT" w:eastAsia="Arial MT" w:hAnsi="Arial MT" w:cs="Arial MT"/>
          <w:sz w:val="24"/>
          <w:szCs w:val="24"/>
        </w:rPr>
        <w:br/>
        <w:t>Estudiantes con mejores niveles de comprensión lectora, expresión oral y producción escrita.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numPr>
          <w:ilvl w:val="0"/>
          <w:numId w:val="10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Proyecto CRESE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i/>
          <w:iCs/>
          <w:sz w:val="24"/>
          <w:szCs w:val="24"/>
        </w:rPr>
        <w:t>(Competencias para la Regulación Emocional y Social Escolar)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Fundamento Normativo</w:t>
      </w:r>
      <w:r w:rsidRPr="00CE5936">
        <w:rPr>
          <w:rFonts w:ascii="Arial MT" w:eastAsia="Arial MT" w:hAnsi="Arial MT" w:cs="Arial MT"/>
          <w:sz w:val="24"/>
          <w:szCs w:val="24"/>
        </w:rPr>
        <w:br/>
        <w:t>Ley 1620 de 2013, Decreto 1965 de 2013, Manual de Convivencia Escolar.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Objetivo</w:t>
      </w:r>
      <w:r w:rsidRPr="00CE5936">
        <w:rPr>
          <w:rFonts w:ascii="Arial MT" w:eastAsia="Arial MT" w:hAnsi="Arial MT" w:cs="Arial MT"/>
          <w:sz w:val="24"/>
          <w:szCs w:val="24"/>
        </w:rPr>
        <w:br/>
        <w:t>Fortalecer las competencias socioemocionales y la convivencia escolar, promoviendo la resolución pacífica de conflictos.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Acciones Pedagógicas</w:t>
      </w:r>
    </w:p>
    <w:p w:rsidR="00CE5936" w:rsidRPr="00CE5936" w:rsidRDefault="00CE5936" w:rsidP="00CE593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Talleres de educación emocional.</w:t>
      </w:r>
    </w:p>
    <w:p w:rsidR="00CE5936" w:rsidRPr="00CE5936" w:rsidRDefault="00CE5936" w:rsidP="00CE593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Estrategias de mediación escolar.</w:t>
      </w:r>
    </w:p>
    <w:p w:rsidR="00CE5936" w:rsidRPr="00CE5936" w:rsidRDefault="00CE5936" w:rsidP="00CE593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Espacios de escucha y orientación.</w:t>
      </w:r>
    </w:p>
    <w:p w:rsidR="00CE5936" w:rsidRPr="00CE5936" w:rsidRDefault="00CE5936" w:rsidP="00CE593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Prevención del acoso escolar y otras conductas de riesgo.</w:t>
      </w:r>
    </w:p>
    <w:p w:rsidR="00CE5936" w:rsidRPr="00CE5936" w:rsidRDefault="00CE5936" w:rsidP="00CE593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Articulación con el Comité de Convivencia Escolar.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Resultados Esperados</w:t>
      </w:r>
      <w:r w:rsidRPr="00CE5936">
        <w:rPr>
          <w:rFonts w:ascii="Arial MT" w:eastAsia="Arial MT" w:hAnsi="Arial MT" w:cs="Arial MT"/>
          <w:sz w:val="24"/>
          <w:szCs w:val="24"/>
        </w:rPr>
        <w:br/>
        <w:t>Disminución de conflictos escolares y fortalecimiento del clima institucional.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numPr>
          <w:ilvl w:val="0"/>
          <w:numId w:val="10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Articulación Institucional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Los Centros de Interés y el Proyecto CRESE se articulan con:</w:t>
      </w:r>
    </w:p>
    <w:p w:rsidR="00CE5936" w:rsidRPr="00CE5936" w:rsidRDefault="00CE5936" w:rsidP="00CE5936">
      <w:pPr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El currículo y los planes de área.</w:t>
      </w:r>
    </w:p>
    <w:p w:rsidR="00CE5936" w:rsidRPr="00CE5936" w:rsidRDefault="00CE5936" w:rsidP="00CE5936">
      <w:pPr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lastRenderedPageBreak/>
        <w:t>Los proyectos pedagógicos obligatorios.</w:t>
      </w:r>
    </w:p>
    <w:p w:rsidR="00CE5936" w:rsidRPr="00CE5936" w:rsidRDefault="00CE5936" w:rsidP="00CE5936">
      <w:pPr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El Manual de Convivencia.</w:t>
      </w:r>
    </w:p>
    <w:p w:rsidR="00CE5936" w:rsidRPr="00CE5936" w:rsidRDefault="00CE5936" w:rsidP="00CE5936">
      <w:pPr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El Sistema Institucional de Evaluación (Decreto 1290 de 2009).</w:t>
      </w:r>
    </w:p>
    <w:p w:rsidR="00CE5936" w:rsidRPr="00CE5936" w:rsidRDefault="00CE5936" w:rsidP="00CE5936">
      <w:pPr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El Plan de Mejoramiento Institucional.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CE5936" w:rsidRPr="00CE5936" w:rsidRDefault="00CE5936" w:rsidP="00CE5936">
      <w:pPr>
        <w:widowControl w:val="0"/>
        <w:numPr>
          <w:ilvl w:val="0"/>
          <w:numId w:val="10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b/>
          <w:bCs/>
          <w:sz w:val="24"/>
          <w:szCs w:val="24"/>
        </w:rPr>
      </w:pPr>
      <w:r w:rsidRPr="00CE5936">
        <w:rPr>
          <w:rFonts w:ascii="Arial MT" w:eastAsia="Arial MT" w:hAnsi="Arial MT" w:cs="Arial MT"/>
          <w:b/>
          <w:bCs/>
          <w:sz w:val="24"/>
          <w:szCs w:val="24"/>
        </w:rPr>
        <w:t>Evaluación y Seguimiento</w:t>
      </w:r>
    </w:p>
    <w:p w:rsidR="00CE5936" w:rsidRPr="00CE5936" w:rsidRDefault="00CE5936" w:rsidP="00CE593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 xml:space="preserve">La evaluación se realizará de manera </w:t>
      </w:r>
      <w:r w:rsidRPr="00CE5936">
        <w:rPr>
          <w:rFonts w:ascii="Arial MT" w:eastAsia="Arial MT" w:hAnsi="Arial MT" w:cs="Arial MT"/>
          <w:b/>
          <w:bCs/>
          <w:sz w:val="24"/>
          <w:szCs w:val="24"/>
        </w:rPr>
        <w:t>formativa e integral</w:t>
      </w:r>
      <w:r w:rsidRPr="00CE5936">
        <w:rPr>
          <w:rFonts w:ascii="Arial MT" w:eastAsia="Arial MT" w:hAnsi="Arial MT" w:cs="Arial MT"/>
          <w:sz w:val="24"/>
          <w:szCs w:val="24"/>
        </w:rPr>
        <w:t>, teniendo en cuenta:</w:t>
      </w:r>
    </w:p>
    <w:p w:rsidR="00CE5936" w:rsidRPr="00CE5936" w:rsidRDefault="00CE5936" w:rsidP="00CE5936">
      <w:pPr>
        <w:widowControl w:val="0"/>
        <w:numPr>
          <w:ilvl w:val="0"/>
          <w:numId w:val="9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Participación y compromiso estudiantil.</w:t>
      </w:r>
    </w:p>
    <w:p w:rsidR="00CE5936" w:rsidRPr="00CE5936" w:rsidRDefault="00CE5936" w:rsidP="00CE5936">
      <w:pPr>
        <w:widowControl w:val="0"/>
        <w:numPr>
          <w:ilvl w:val="0"/>
          <w:numId w:val="9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Desarrollo de competencias.</w:t>
      </w:r>
    </w:p>
    <w:p w:rsidR="00CE5936" w:rsidRPr="00CE5936" w:rsidRDefault="00CE5936" w:rsidP="00CE5936">
      <w:pPr>
        <w:widowControl w:val="0"/>
        <w:numPr>
          <w:ilvl w:val="0"/>
          <w:numId w:val="9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Impacto en la convivencia y el bienestar escolar.</w:t>
      </w:r>
    </w:p>
    <w:p w:rsidR="00CE5936" w:rsidRPr="00CE5936" w:rsidRDefault="00CE5936" w:rsidP="00CE5936">
      <w:pPr>
        <w:widowControl w:val="0"/>
        <w:numPr>
          <w:ilvl w:val="0"/>
          <w:numId w:val="9"/>
        </w:numPr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  <w:r w:rsidRPr="00CE5936">
        <w:rPr>
          <w:rFonts w:ascii="Arial MT" w:eastAsia="Arial MT" w:hAnsi="Arial MT" w:cs="Arial MT"/>
          <w:sz w:val="24"/>
          <w:szCs w:val="24"/>
        </w:rPr>
        <w:t>Informes periódicos al Consejo Académico y Directivo.</w:t>
      </w:r>
    </w:p>
    <w:p w:rsidR="00CE5936" w:rsidRPr="00DF0BA6" w:rsidRDefault="00CE5936"/>
    <w:sectPr w:rsidR="00CE5936" w:rsidRPr="00DF0BA6" w:rsidSect="003100CE">
      <w:headerReference w:type="default" r:id="rId10"/>
      <w:pgSz w:w="12240" w:h="15840" w:code="1"/>
      <w:pgMar w:top="1440" w:right="1080" w:bottom="1440" w:left="1080" w:header="567" w:footer="454" w:gutter="0"/>
      <w:cols w:space="65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B1C" w:rsidRDefault="006C0B1C" w:rsidP="005D319E">
      <w:pPr>
        <w:spacing w:after="0" w:line="240" w:lineRule="auto"/>
      </w:pPr>
      <w:r>
        <w:separator/>
      </w:r>
    </w:p>
  </w:endnote>
  <w:endnote w:type="continuationSeparator" w:id="0">
    <w:p w:rsidR="006C0B1C" w:rsidRDefault="006C0B1C" w:rsidP="005D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B1C" w:rsidRDefault="006C0B1C" w:rsidP="005D319E">
      <w:pPr>
        <w:spacing w:after="0" w:line="240" w:lineRule="auto"/>
      </w:pPr>
      <w:r>
        <w:separator/>
      </w:r>
    </w:p>
  </w:footnote>
  <w:footnote w:type="continuationSeparator" w:id="0">
    <w:p w:rsidR="006C0B1C" w:rsidRDefault="006C0B1C" w:rsidP="005D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811"/>
      <w:gridCol w:w="2268"/>
    </w:tblGrid>
    <w:tr w:rsidR="005D319E" w:rsidRPr="00252E63" w:rsidTr="00DE7544">
      <w:trPr>
        <w:trHeight w:val="1402"/>
        <w:jc w:val="center"/>
      </w:trPr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D319E" w:rsidRPr="00252E63" w:rsidRDefault="005D319E" w:rsidP="005D319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  <w:r w:rsidRPr="00252E6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774E75A6" wp14:editId="180463D5">
                <wp:simplePos x="0" y="0"/>
                <wp:positionH relativeFrom="column">
                  <wp:posOffset>35560</wp:posOffset>
                </wp:positionH>
                <wp:positionV relativeFrom="paragraph">
                  <wp:posOffset>-635</wp:posOffset>
                </wp:positionV>
                <wp:extent cx="965835" cy="949325"/>
                <wp:effectExtent l="0" t="0" r="5715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8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D319E" w:rsidRPr="00252E63" w:rsidRDefault="005D319E" w:rsidP="005D319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</w:p>
      </w:tc>
      <w:tc>
        <w:tcPr>
          <w:tcW w:w="5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D319E" w:rsidRPr="00252E63" w:rsidRDefault="005D319E" w:rsidP="005D319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</w:t>
          </w: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REPUBLICA DE COLOMBIA </w:t>
          </w:r>
        </w:p>
        <w:p w:rsidR="005D319E" w:rsidRPr="00252E63" w:rsidRDefault="005D319E" w:rsidP="005D319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NORTE DE SANTANDER </w:t>
          </w:r>
        </w:p>
        <w:p w:rsidR="005D319E" w:rsidRPr="00252E63" w:rsidRDefault="005D319E" w:rsidP="005D319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MUNICIPIO DE TOLEDO </w:t>
          </w:r>
        </w:p>
        <w:p w:rsidR="005D319E" w:rsidRPr="00252E63" w:rsidRDefault="005D319E" w:rsidP="005D319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CENTRO EDUCATIVO RURAL LA MESA </w:t>
          </w:r>
        </w:p>
        <w:p w:rsidR="005D319E" w:rsidRPr="00252E63" w:rsidRDefault="005D319E" w:rsidP="005D319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Aprobación Res 008953 del 31 octubre de 2024 </w:t>
          </w:r>
        </w:p>
        <w:p w:rsidR="005D319E" w:rsidRPr="00252E63" w:rsidRDefault="005D319E" w:rsidP="005D319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DANE: 254820000279 </w:t>
          </w:r>
        </w:p>
        <w:p w:rsidR="005D319E" w:rsidRPr="00252E63" w:rsidRDefault="005D319E" w:rsidP="005D319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NIT 900.055.809-2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D319E" w:rsidRPr="00252E63" w:rsidRDefault="005D319E" w:rsidP="005D319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  <w:r w:rsidRPr="00252E6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B76A609" wp14:editId="11CCA84D">
                <wp:simplePos x="0" y="0"/>
                <wp:positionH relativeFrom="column">
                  <wp:posOffset>41910</wp:posOffset>
                </wp:positionH>
                <wp:positionV relativeFrom="paragraph">
                  <wp:posOffset>-64135</wp:posOffset>
                </wp:positionV>
                <wp:extent cx="1285875" cy="74930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D319E" w:rsidRDefault="005D31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03BD"/>
    <w:multiLevelType w:val="multilevel"/>
    <w:tmpl w:val="962EFA32"/>
    <w:lvl w:ilvl="0">
      <w:start w:val="1"/>
      <w:numFmt w:val="decimal"/>
      <w:lvlText w:val="%1"/>
      <w:lvlJc w:val="left"/>
      <w:pPr>
        <w:ind w:left="1341" w:hanging="721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1341" w:hanging="721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41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●"/>
      <w:lvlJc w:val="left"/>
      <w:pPr>
        <w:ind w:left="13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98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9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0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10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3F0445E"/>
    <w:multiLevelType w:val="multilevel"/>
    <w:tmpl w:val="148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C3225"/>
    <w:multiLevelType w:val="multilevel"/>
    <w:tmpl w:val="C3DC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40C3F"/>
    <w:multiLevelType w:val="multilevel"/>
    <w:tmpl w:val="FA56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17EB6"/>
    <w:multiLevelType w:val="multilevel"/>
    <w:tmpl w:val="DE06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25B66"/>
    <w:multiLevelType w:val="multilevel"/>
    <w:tmpl w:val="50C4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82FFC"/>
    <w:multiLevelType w:val="multilevel"/>
    <w:tmpl w:val="866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F0E3E"/>
    <w:multiLevelType w:val="multilevel"/>
    <w:tmpl w:val="3A14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806F2"/>
    <w:multiLevelType w:val="multilevel"/>
    <w:tmpl w:val="6358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3497B"/>
    <w:multiLevelType w:val="multilevel"/>
    <w:tmpl w:val="866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drawingGridHorizontalSpacing w:val="80"/>
  <w:drawingGridVertic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36"/>
    <w:rsid w:val="001E40A0"/>
    <w:rsid w:val="003100CE"/>
    <w:rsid w:val="003D4531"/>
    <w:rsid w:val="00417615"/>
    <w:rsid w:val="00480059"/>
    <w:rsid w:val="005D319E"/>
    <w:rsid w:val="006C0B1C"/>
    <w:rsid w:val="00785197"/>
    <w:rsid w:val="00CE5936"/>
    <w:rsid w:val="00DC1EEB"/>
    <w:rsid w:val="00DF0BA6"/>
    <w:rsid w:val="00E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F4F"/>
  <w15:chartTrackingRefBased/>
  <w15:docId w15:val="{F0F8721C-9ACB-484F-97ED-09CF1581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593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31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19E"/>
  </w:style>
  <w:style w:type="paragraph" w:styleId="Piedepgina">
    <w:name w:val="footer"/>
    <w:basedOn w:val="Normal"/>
    <w:link w:val="PiedepginaCar"/>
    <w:uiPriority w:val="99"/>
    <w:unhideWhenUsed/>
    <w:rsid w:val="005D31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irectiva+03+de+2023&amp;rlz=1C1CHBF_esCO924CO924&amp;oq=REFERENTE+LEGA+SOBRE+PROGRAMAS+DE+TUTORIAS+PARA+EL+APRENDIZAJE+PTA&amp;gs_lcrp=EgZjaHJvbWUyBggAEEUYOdIBCjI4MTgzajBqMTWoAgiwAgHxBTe8qlsP-wr0&amp;sourceid=chrome&amp;ie=UTF-8&amp;mstk=AUtExfCe_xJiS7uP-YVIVO2trELcN8mzti4kjsEil-1JmWQZ-pXSsG0NC20X_Cn3Jg1g4D55CsyH1nBTG4XD3Fz7JQMwhzPg6dcGkM3UX6Rz-04MBp3zsRFxqLT_afkqeItS5zhhKFOG9sEYPTleRckTw5QYAahxzB8EBOSWqSj0UDIncgc&amp;csui=3&amp;ved=2ahUKEwitiNmm6PqRAxXHlGoFHVWEAcEQgK4QegQIAR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educacion.gov.co/portal/salaprensa/Calendario-de-actividades-y-eventos/423108:CONVOCATORIA-A-PRACTICANTES-PARA-PARTICIPAR-EN-EL-PROGRAMA-DE-TUTORIAS-PARA-EL-APRENDIZAJE-Y-LA-FORMACION-INTEGRAL-PTA-FI-EN-EL-PRIMER-SEMESTRE-DE-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Educaci%C3%B3n+Crece&amp;rlz=1C1CHBF_esCO924CO924&amp;oq=REFERENTE+LEGA+SOBRE+PROGRAMAS+DE+TUTORIAS+PARA+EL+APRENDIZAJE+PTA&amp;gs_lcrp=EgZjaHJvbWUyBggAEEUYOdIBCjI4MTgzajBqMTWoAgiwAgHxBTe8qlsP-wr0&amp;sourceid=chrome&amp;ie=UTF-8&amp;mstk=AUtExfCe_xJiS7uP-YVIVO2trELcN8mzti4kjsEil-1JmWQZ-pXSsG0NC20X_Cn3Jg1g4D55CsyH1nBTG4XD3Fz7JQMwhzPg6dcGkM3UX6Rz-04MBp3zsRFxqLT_afkqeItS5zhhKFOG9sEYPTleRckTw5QYAahxzB8EBOSWqSj0UDIncgc&amp;csui=3&amp;ved=2ahUKEwitiNmm6PqRAxXHlGoFHVWEAcEQgK4QegQIARA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1366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usuario;KARINA DIAZ PACHECO</dc:creator>
  <cp:keywords/>
  <dc:description/>
  <cp:lastModifiedBy>usuario</cp:lastModifiedBy>
  <cp:revision>10</cp:revision>
  <dcterms:created xsi:type="dcterms:W3CDTF">2026-01-09T01:10:00Z</dcterms:created>
  <dcterms:modified xsi:type="dcterms:W3CDTF">2026-01-09T02:48:00Z</dcterms:modified>
</cp:coreProperties>
</file>