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2E41" w14:textId="0C2E4446" w:rsidR="00C7252B" w:rsidRDefault="00F90626" w:rsidP="00636B80">
      <w:pPr>
        <w:pStyle w:val="Ttulo1"/>
        <w:jc w:val="center"/>
      </w:pPr>
      <w:r>
        <w:t>PLAN DE ACCIÓN DEL COMITÉ DE CONVIVENCIA ESCOLAR</w:t>
      </w:r>
    </w:p>
    <w:p w14:paraId="65FDDE9C" w14:textId="77777777" w:rsidR="00636B80" w:rsidRPr="00636B80" w:rsidRDefault="00636B80" w:rsidP="00636B80"/>
    <w:p w14:paraId="73F33B51" w14:textId="7D3960E7" w:rsidR="00C7252B" w:rsidRDefault="00F90626">
      <w:r>
        <w:t>Institución Educativa:</w:t>
      </w:r>
      <w:r w:rsidR="00636B80">
        <w:t xml:space="preserve"> Centro Educativo Rural de San Isidro</w:t>
      </w:r>
    </w:p>
    <w:p w14:paraId="55378C1C" w14:textId="0931E33D" w:rsidR="00C7252B" w:rsidRDefault="00F90626">
      <w:r>
        <w:t xml:space="preserve">Año: </w:t>
      </w:r>
      <w:r w:rsidR="00636B80">
        <w:t xml:space="preserve"> 2026</w:t>
      </w:r>
    </w:p>
    <w:p w14:paraId="4F06E769" w14:textId="77777777" w:rsidR="00C7252B" w:rsidRDefault="00F90626">
      <w:r>
        <w:t>Responsable: Comité Escolar de Convivencia</w:t>
      </w:r>
    </w:p>
    <w:p w14:paraId="56E88DCC" w14:textId="77777777" w:rsidR="00C7252B" w:rsidRDefault="00F90626">
      <w:r>
        <w:t>Marco legal: Ley 1620 de 2013, Decreto 1965 de 2013</w:t>
      </w:r>
    </w:p>
    <w:p w14:paraId="32949F1B" w14:textId="77777777" w:rsidR="00C7252B" w:rsidRDefault="00F90626">
      <w:pPr>
        <w:pStyle w:val="Ttulo2"/>
      </w:pPr>
      <w:r>
        <w:t>1. Objetivo general</w:t>
      </w:r>
    </w:p>
    <w:p w14:paraId="0AA89A0A" w14:textId="77777777" w:rsidR="00C7252B" w:rsidRDefault="00F90626">
      <w:r>
        <w:t>Fortalecer la convivencia escolar y la formación integral de los estudiantes mediante estrategias de prevención, atención y seguimiento de situaciones que afecten la armonía y los derechos dentro de la comunidad educativa, en cumplimiento de la Ley 1620 de</w:t>
      </w:r>
      <w:r>
        <w:t xml:space="preserve"> 2013.</w:t>
      </w:r>
    </w:p>
    <w:p w14:paraId="012A3333" w14:textId="77777777" w:rsidR="00C7252B" w:rsidRDefault="00F90626">
      <w:pPr>
        <w:pStyle w:val="Ttulo2"/>
      </w:pPr>
      <w:r>
        <w:t>2. Objetivos específicos</w:t>
      </w:r>
    </w:p>
    <w:p w14:paraId="4AFADC88" w14:textId="77777777" w:rsidR="00C7252B" w:rsidRDefault="00F90626">
      <w:pPr>
        <w:pStyle w:val="Listaconnmeros"/>
      </w:pPr>
      <w:r>
        <w:t>Promover una cultura de respeto, diálogo y resolución pacífica de conflictos.</w:t>
      </w:r>
    </w:p>
    <w:p w14:paraId="14EB1F4F" w14:textId="77777777" w:rsidR="00C7252B" w:rsidRDefault="00F90626">
      <w:pPr>
        <w:pStyle w:val="Listaconnmeros"/>
      </w:pPr>
      <w:r>
        <w:t>Implementar estrategias pedagógicas para la prevención del acoso y la violencia escolar.</w:t>
      </w:r>
    </w:p>
    <w:p w14:paraId="1B1CC6BC" w14:textId="77777777" w:rsidR="00C7252B" w:rsidRDefault="00F90626">
      <w:pPr>
        <w:pStyle w:val="Listaconnmeros"/>
      </w:pPr>
      <w:r>
        <w:t>Garantizar la atención y el acompañamiento oportuno de lo</w:t>
      </w:r>
      <w:r>
        <w:t>s casos reportados.</w:t>
      </w:r>
    </w:p>
    <w:p w14:paraId="3A00D424" w14:textId="77777777" w:rsidR="00C7252B" w:rsidRDefault="00F90626">
      <w:pPr>
        <w:pStyle w:val="Listaconnmeros"/>
      </w:pPr>
      <w:r>
        <w:t>Fomentar la participación activa de toda la comunidad educativa en la construcción de ambientes de sana convivencia.</w:t>
      </w:r>
    </w:p>
    <w:p w14:paraId="4CD74B9C" w14:textId="77777777" w:rsidR="00C7252B" w:rsidRDefault="00F90626">
      <w:pPr>
        <w:pStyle w:val="Listaconnmeros"/>
      </w:pPr>
      <w:r>
        <w:t>Evaluar periódicamente el clima escolar y los resultados de las acciones emprendidas.</w:t>
      </w:r>
    </w:p>
    <w:p w14:paraId="7A7C740A" w14:textId="77777777" w:rsidR="00C7252B" w:rsidRDefault="00F90626">
      <w:pPr>
        <w:pStyle w:val="Ttulo2"/>
      </w:pPr>
      <w:r>
        <w:t>3. Ejes de acción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7252B" w14:paraId="377A6248" w14:textId="77777777">
        <w:tc>
          <w:tcPr>
            <w:tcW w:w="1728" w:type="dxa"/>
          </w:tcPr>
          <w:p w14:paraId="137C91B5" w14:textId="77777777" w:rsidR="00C7252B" w:rsidRDefault="00F90626">
            <w:r>
              <w:t>Eje</w:t>
            </w:r>
          </w:p>
        </w:tc>
        <w:tc>
          <w:tcPr>
            <w:tcW w:w="1728" w:type="dxa"/>
          </w:tcPr>
          <w:p w14:paraId="2CEE79CA" w14:textId="77777777" w:rsidR="00C7252B" w:rsidRDefault="00F90626">
            <w:r>
              <w:t>Actividades</w:t>
            </w:r>
          </w:p>
        </w:tc>
        <w:tc>
          <w:tcPr>
            <w:tcW w:w="1728" w:type="dxa"/>
          </w:tcPr>
          <w:p w14:paraId="53C2F43A" w14:textId="77777777" w:rsidR="00C7252B" w:rsidRDefault="00F90626">
            <w:r>
              <w:t>Responsables</w:t>
            </w:r>
          </w:p>
        </w:tc>
        <w:tc>
          <w:tcPr>
            <w:tcW w:w="1728" w:type="dxa"/>
          </w:tcPr>
          <w:p w14:paraId="79203799" w14:textId="77777777" w:rsidR="00C7252B" w:rsidRDefault="00F90626">
            <w:r>
              <w:t>Indicadores de logro</w:t>
            </w:r>
          </w:p>
        </w:tc>
        <w:tc>
          <w:tcPr>
            <w:tcW w:w="1728" w:type="dxa"/>
          </w:tcPr>
          <w:p w14:paraId="6401E350" w14:textId="77777777" w:rsidR="00C7252B" w:rsidRDefault="00F90626">
            <w:r>
              <w:t>Cronograma</w:t>
            </w:r>
          </w:p>
        </w:tc>
      </w:tr>
      <w:tr w:rsidR="00C7252B" w14:paraId="3AB24EE7" w14:textId="77777777">
        <w:tc>
          <w:tcPr>
            <w:tcW w:w="1728" w:type="dxa"/>
          </w:tcPr>
          <w:p w14:paraId="6D194569" w14:textId="77777777" w:rsidR="00C7252B" w:rsidRDefault="00F90626">
            <w:r>
              <w:t>Prevención</w:t>
            </w:r>
          </w:p>
        </w:tc>
        <w:tc>
          <w:tcPr>
            <w:tcW w:w="1728" w:type="dxa"/>
          </w:tcPr>
          <w:p w14:paraId="7D88C480" w14:textId="77777777" w:rsidR="00C7252B" w:rsidRDefault="00F90626">
            <w:r>
              <w:t xml:space="preserve">Sensibilizar a la comunidad sobre la Ley 1620 y el Manual de Convivencia. Realizar talleres de resolución pacífica de conflictos y </w:t>
            </w:r>
            <w:r>
              <w:lastRenderedPageBreak/>
              <w:t>campañas de respeto.</w:t>
            </w:r>
          </w:p>
        </w:tc>
        <w:tc>
          <w:tcPr>
            <w:tcW w:w="1728" w:type="dxa"/>
          </w:tcPr>
          <w:p w14:paraId="02E77058" w14:textId="77777777" w:rsidR="00C7252B" w:rsidRDefault="00F90626">
            <w:r>
              <w:lastRenderedPageBreak/>
              <w:t>Comité de Convivencia, orientador escolar, doc</w:t>
            </w:r>
            <w:r>
              <w:t>entes, consejo estudiantil.</w:t>
            </w:r>
          </w:p>
        </w:tc>
        <w:tc>
          <w:tcPr>
            <w:tcW w:w="1728" w:type="dxa"/>
          </w:tcPr>
          <w:p w14:paraId="03CD8D9B" w14:textId="77777777" w:rsidR="00C7252B" w:rsidRDefault="00F90626">
            <w:r>
              <w:t>N° de talleres realizados, participación activa, reducción de reportes de conflicto.</w:t>
            </w:r>
          </w:p>
        </w:tc>
        <w:tc>
          <w:tcPr>
            <w:tcW w:w="1728" w:type="dxa"/>
          </w:tcPr>
          <w:p w14:paraId="7FBE182C" w14:textId="77777777" w:rsidR="00C7252B" w:rsidRDefault="00F90626">
            <w:r>
              <w:t>Marzo - Julio</w:t>
            </w:r>
          </w:p>
        </w:tc>
      </w:tr>
      <w:tr w:rsidR="00C7252B" w14:paraId="397D18E7" w14:textId="77777777">
        <w:tc>
          <w:tcPr>
            <w:tcW w:w="1728" w:type="dxa"/>
          </w:tcPr>
          <w:p w14:paraId="6589D972" w14:textId="77777777" w:rsidR="00C7252B" w:rsidRDefault="00F90626">
            <w:r>
              <w:t>Atención</w:t>
            </w:r>
          </w:p>
        </w:tc>
        <w:tc>
          <w:tcPr>
            <w:tcW w:w="1728" w:type="dxa"/>
          </w:tcPr>
          <w:p w14:paraId="7467C8F8" w14:textId="77777777" w:rsidR="00C7252B" w:rsidRDefault="00F90626">
            <w:r>
              <w:t>Atender casos reportados de acoso o conflicto aplicando el protocolo del Decreto 1965 de 2013.</w:t>
            </w:r>
          </w:p>
        </w:tc>
        <w:tc>
          <w:tcPr>
            <w:tcW w:w="1728" w:type="dxa"/>
          </w:tcPr>
          <w:p w14:paraId="4C95DB23" w14:textId="77777777" w:rsidR="00C7252B" w:rsidRDefault="00F90626">
            <w:r>
              <w:t xml:space="preserve">Comité de </w:t>
            </w:r>
            <w:r>
              <w:t>Convivencia, orientador escolar, directivos.</w:t>
            </w:r>
          </w:p>
        </w:tc>
        <w:tc>
          <w:tcPr>
            <w:tcW w:w="1728" w:type="dxa"/>
          </w:tcPr>
          <w:p w14:paraId="2C04B019" w14:textId="77777777" w:rsidR="00C7252B" w:rsidRDefault="00F90626">
            <w:r>
              <w:t>Casos atendidos según protocolo y tiempos adecuados.</w:t>
            </w:r>
          </w:p>
        </w:tc>
        <w:tc>
          <w:tcPr>
            <w:tcW w:w="1728" w:type="dxa"/>
          </w:tcPr>
          <w:p w14:paraId="4AE47584" w14:textId="77777777" w:rsidR="00C7252B" w:rsidRDefault="00F90626">
            <w:r>
              <w:t>Durante todo el año</w:t>
            </w:r>
          </w:p>
        </w:tc>
      </w:tr>
      <w:tr w:rsidR="00C7252B" w14:paraId="561449AE" w14:textId="77777777">
        <w:tc>
          <w:tcPr>
            <w:tcW w:w="1728" w:type="dxa"/>
          </w:tcPr>
          <w:p w14:paraId="0F31287E" w14:textId="77777777" w:rsidR="00C7252B" w:rsidRDefault="00F90626">
            <w:r>
              <w:t>Seguimiento</w:t>
            </w:r>
          </w:p>
        </w:tc>
        <w:tc>
          <w:tcPr>
            <w:tcW w:w="1728" w:type="dxa"/>
          </w:tcPr>
          <w:p w14:paraId="6BEB23B1" w14:textId="77777777" w:rsidR="00C7252B" w:rsidRDefault="00F90626">
            <w:r>
              <w:t>Hacer seguimiento a compromisos derivados de casos y evaluar el clima escolar.</w:t>
            </w:r>
          </w:p>
        </w:tc>
        <w:tc>
          <w:tcPr>
            <w:tcW w:w="1728" w:type="dxa"/>
          </w:tcPr>
          <w:p w14:paraId="36C526CD" w14:textId="77777777" w:rsidR="00C7252B" w:rsidRDefault="00F90626">
            <w:r>
              <w:t>Comité de Convivencia, coordinación académica,</w:t>
            </w:r>
            <w:r>
              <w:t xml:space="preserve"> orientación.</w:t>
            </w:r>
          </w:p>
        </w:tc>
        <w:tc>
          <w:tcPr>
            <w:tcW w:w="1728" w:type="dxa"/>
          </w:tcPr>
          <w:p w14:paraId="446E56B9" w14:textId="77777777" w:rsidR="00C7252B" w:rsidRDefault="00F90626">
            <w:r>
              <w:t>% de casos con seguimiento efectivo, mejora en los indicadores de convivencia.</w:t>
            </w:r>
          </w:p>
        </w:tc>
        <w:tc>
          <w:tcPr>
            <w:tcW w:w="1728" w:type="dxa"/>
          </w:tcPr>
          <w:p w14:paraId="5801BF49" w14:textId="77777777" w:rsidR="00C7252B" w:rsidRDefault="00F90626">
            <w:r>
              <w:t>Permanente</w:t>
            </w:r>
          </w:p>
        </w:tc>
      </w:tr>
      <w:tr w:rsidR="00C7252B" w14:paraId="1615F09E" w14:textId="77777777">
        <w:tc>
          <w:tcPr>
            <w:tcW w:w="1728" w:type="dxa"/>
          </w:tcPr>
          <w:p w14:paraId="635B8335" w14:textId="77777777" w:rsidR="00C7252B" w:rsidRDefault="00F90626">
            <w:r>
              <w:t>Formación y participación</w:t>
            </w:r>
          </w:p>
        </w:tc>
        <w:tc>
          <w:tcPr>
            <w:tcW w:w="1728" w:type="dxa"/>
          </w:tcPr>
          <w:p w14:paraId="48C570C7" w14:textId="77777777" w:rsidR="00C7252B" w:rsidRDefault="00F90626">
            <w:r>
              <w:t>Capacitar a docentes en mediación y promover participación de padres y estudiantes.</w:t>
            </w:r>
          </w:p>
        </w:tc>
        <w:tc>
          <w:tcPr>
            <w:tcW w:w="1728" w:type="dxa"/>
          </w:tcPr>
          <w:p w14:paraId="59846B0B" w14:textId="77777777" w:rsidR="00C7252B" w:rsidRDefault="00F90626">
            <w:r>
              <w:t>Rectoría, coordinación, orientador escola</w:t>
            </w:r>
            <w:r>
              <w:t>r, consejo de padres.</w:t>
            </w:r>
          </w:p>
        </w:tc>
        <w:tc>
          <w:tcPr>
            <w:tcW w:w="1728" w:type="dxa"/>
          </w:tcPr>
          <w:p w14:paraId="480B5C4A" w14:textId="77777777" w:rsidR="00C7252B" w:rsidRDefault="00F90626">
            <w:r>
              <w:t>N° de capacitaciones realizadas, niveles de participación.</w:t>
            </w:r>
          </w:p>
        </w:tc>
        <w:tc>
          <w:tcPr>
            <w:tcW w:w="1728" w:type="dxa"/>
          </w:tcPr>
          <w:p w14:paraId="76E04DCF" w14:textId="77777777" w:rsidR="00C7252B" w:rsidRDefault="00F90626">
            <w:r>
              <w:t>Abril - Octubre</w:t>
            </w:r>
          </w:p>
        </w:tc>
      </w:tr>
    </w:tbl>
    <w:p w14:paraId="62BC9EF5" w14:textId="77777777" w:rsidR="00C7252B" w:rsidRDefault="00F90626">
      <w:pPr>
        <w:pStyle w:val="Ttulo2"/>
      </w:pPr>
      <w:r>
        <w:t>4. Estrategias transversales</w:t>
      </w:r>
    </w:p>
    <w:p w14:paraId="792B1ABB" w14:textId="77777777" w:rsidR="00C7252B" w:rsidRDefault="00F90626">
      <w:pPr>
        <w:pStyle w:val="Listaconvietas"/>
      </w:pPr>
      <w:r>
        <w:t>Integración curricular: incluir temas de convivencia, derechos humanos y ciudadanía en todas las áreas.</w:t>
      </w:r>
    </w:p>
    <w:p w14:paraId="05AD7033" w14:textId="77777777" w:rsidR="00C7252B" w:rsidRDefault="00F90626">
      <w:pPr>
        <w:pStyle w:val="Listaconvietas"/>
      </w:pPr>
      <w:r>
        <w:t>Escuela de padres: sesion</w:t>
      </w:r>
      <w:r>
        <w:t>es sobre comunicación familiar, límites y crianza positiva.</w:t>
      </w:r>
    </w:p>
    <w:p w14:paraId="69B5F62B" w14:textId="77777777" w:rsidR="00C7252B" w:rsidRDefault="00F90626">
      <w:pPr>
        <w:pStyle w:val="Listaconvietas"/>
      </w:pPr>
      <w:r>
        <w:t>Mediadores escolares: formación de estudiantes líderes para la mediación y apoyo entre pares.</w:t>
      </w:r>
    </w:p>
    <w:p w14:paraId="04B1BED2" w14:textId="77777777" w:rsidR="00C7252B" w:rsidRDefault="00F90626">
      <w:pPr>
        <w:pStyle w:val="Listaconvietas"/>
      </w:pPr>
      <w:r>
        <w:t xml:space="preserve">Campañas comunicativas: murales, boletines y actividades simbólicas sobre respeto, equidad y no </w:t>
      </w:r>
      <w:r>
        <w:t>violencia.</w:t>
      </w:r>
    </w:p>
    <w:p w14:paraId="31F220AF" w14:textId="77777777" w:rsidR="00C7252B" w:rsidRDefault="00F90626">
      <w:pPr>
        <w:pStyle w:val="Ttulo2"/>
      </w:pPr>
      <w:r>
        <w:t>5. Evaluación y seguimiento</w:t>
      </w:r>
    </w:p>
    <w:p w14:paraId="30DC9B5D" w14:textId="12387F69" w:rsidR="00C7252B" w:rsidRDefault="00F90626">
      <w:r>
        <w:t>Periodicidad: trimestral.</w:t>
      </w:r>
      <w:r>
        <w:br/>
        <w:t>Herramientas: actas del comité, encuestas de clima escolar, observadores del estudiante, informes de orientación.</w:t>
      </w:r>
      <w:r>
        <w:br/>
      </w:r>
      <w:r>
        <w:lastRenderedPageBreak/>
        <w:t xml:space="preserve">Responsables: </w:t>
      </w:r>
      <w:r>
        <w:t xml:space="preserve">Comité de Convivencia y </w:t>
      </w:r>
      <w:r w:rsidR="00636B80">
        <w:t>directora.</w:t>
      </w:r>
      <w:r>
        <w:br/>
        <w:t>Producto: Inf</w:t>
      </w:r>
      <w:r>
        <w:t>orme anual de convivencia escolar y plan de mejora para el siguiente periodo.</w:t>
      </w:r>
    </w:p>
    <w:p w14:paraId="1A4104B2" w14:textId="77777777" w:rsidR="00C7252B" w:rsidRDefault="00F90626">
      <w:pPr>
        <w:pStyle w:val="Ttulo2"/>
      </w:pPr>
      <w:r>
        <w:t>6. Indicadores globales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7252B" w14:paraId="41420152" w14:textId="77777777">
        <w:tc>
          <w:tcPr>
            <w:tcW w:w="2880" w:type="dxa"/>
          </w:tcPr>
          <w:p w14:paraId="4B5DE632" w14:textId="77777777" w:rsidR="00C7252B" w:rsidRDefault="00F90626">
            <w:r>
              <w:t>Categoría</w:t>
            </w:r>
          </w:p>
        </w:tc>
        <w:tc>
          <w:tcPr>
            <w:tcW w:w="2880" w:type="dxa"/>
          </w:tcPr>
          <w:p w14:paraId="6C54FB94" w14:textId="77777777" w:rsidR="00C7252B" w:rsidRDefault="00F90626">
            <w:r>
              <w:t>Indicador</w:t>
            </w:r>
          </w:p>
        </w:tc>
        <w:tc>
          <w:tcPr>
            <w:tcW w:w="2880" w:type="dxa"/>
          </w:tcPr>
          <w:p w14:paraId="134460CB" w14:textId="77777777" w:rsidR="00C7252B" w:rsidRDefault="00F90626">
            <w:r>
              <w:t>Meta anual</w:t>
            </w:r>
          </w:p>
        </w:tc>
      </w:tr>
      <w:tr w:rsidR="00C7252B" w14:paraId="0A1D2992" w14:textId="77777777">
        <w:tc>
          <w:tcPr>
            <w:tcW w:w="2880" w:type="dxa"/>
          </w:tcPr>
          <w:p w14:paraId="1C397BC3" w14:textId="77777777" w:rsidR="00C7252B" w:rsidRDefault="00F90626">
            <w:r>
              <w:t>Participación</w:t>
            </w:r>
          </w:p>
        </w:tc>
        <w:tc>
          <w:tcPr>
            <w:tcW w:w="2880" w:type="dxa"/>
          </w:tcPr>
          <w:p w14:paraId="644D9A90" w14:textId="77777777" w:rsidR="00C7252B" w:rsidRDefault="00F90626">
            <w:r>
              <w:t>% de miembros activos en el comité</w:t>
            </w:r>
          </w:p>
        </w:tc>
        <w:tc>
          <w:tcPr>
            <w:tcW w:w="2880" w:type="dxa"/>
          </w:tcPr>
          <w:p w14:paraId="102F8565" w14:textId="77777777" w:rsidR="00C7252B" w:rsidRDefault="00F90626">
            <w:r>
              <w:t>≥ 90%</w:t>
            </w:r>
          </w:p>
        </w:tc>
      </w:tr>
      <w:tr w:rsidR="00C7252B" w14:paraId="73DE819C" w14:textId="77777777">
        <w:tc>
          <w:tcPr>
            <w:tcW w:w="2880" w:type="dxa"/>
          </w:tcPr>
          <w:p w14:paraId="1BD06A28" w14:textId="77777777" w:rsidR="00C7252B" w:rsidRDefault="00F90626">
            <w:r>
              <w:t>Prevención</w:t>
            </w:r>
          </w:p>
        </w:tc>
        <w:tc>
          <w:tcPr>
            <w:tcW w:w="2880" w:type="dxa"/>
          </w:tcPr>
          <w:p w14:paraId="25854924" w14:textId="77777777" w:rsidR="00C7252B" w:rsidRDefault="00F90626">
            <w:r>
              <w:t>N° de campañas realizadas</w:t>
            </w:r>
          </w:p>
        </w:tc>
        <w:tc>
          <w:tcPr>
            <w:tcW w:w="2880" w:type="dxa"/>
          </w:tcPr>
          <w:p w14:paraId="05539DEF" w14:textId="77777777" w:rsidR="00C7252B" w:rsidRDefault="00F90626">
            <w:r>
              <w:t>≥ 4</w:t>
            </w:r>
          </w:p>
        </w:tc>
      </w:tr>
      <w:tr w:rsidR="00C7252B" w14:paraId="1E893BC8" w14:textId="77777777">
        <w:tc>
          <w:tcPr>
            <w:tcW w:w="2880" w:type="dxa"/>
          </w:tcPr>
          <w:p w14:paraId="3A1F28D2" w14:textId="77777777" w:rsidR="00C7252B" w:rsidRDefault="00F90626">
            <w:r>
              <w:t>Atención</w:t>
            </w:r>
          </w:p>
        </w:tc>
        <w:tc>
          <w:tcPr>
            <w:tcW w:w="2880" w:type="dxa"/>
          </w:tcPr>
          <w:p w14:paraId="586DD089" w14:textId="77777777" w:rsidR="00C7252B" w:rsidRDefault="00F90626">
            <w:r>
              <w:t xml:space="preserve">% de casos </w:t>
            </w:r>
            <w:r>
              <w:t>atendidos oportunamente</w:t>
            </w:r>
          </w:p>
        </w:tc>
        <w:tc>
          <w:tcPr>
            <w:tcW w:w="2880" w:type="dxa"/>
          </w:tcPr>
          <w:p w14:paraId="07E60638" w14:textId="77777777" w:rsidR="00C7252B" w:rsidRDefault="00F90626">
            <w:r>
              <w:t>100%</w:t>
            </w:r>
          </w:p>
        </w:tc>
      </w:tr>
      <w:tr w:rsidR="00C7252B" w14:paraId="248D11B3" w14:textId="77777777">
        <w:tc>
          <w:tcPr>
            <w:tcW w:w="2880" w:type="dxa"/>
          </w:tcPr>
          <w:p w14:paraId="11C72C4B" w14:textId="77777777" w:rsidR="00C7252B" w:rsidRDefault="00F90626">
            <w:r>
              <w:t>Mejora del clima escolar</w:t>
            </w:r>
          </w:p>
        </w:tc>
        <w:tc>
          <w:tcPr>
            <w:tcW w:w="2880" w:type="dxa"/>
          </w:tcPr>
          <w:p w14:paraId="20FAFB69" w14:textId="77777777" w:rsidR="00C7252B" w:rsidRDefault="00F90626">
            <w:r>
              <w:t>Reducción de reportes disciplinarios</w:t>
            </w:r>
          </w:p>
        </w:tc>
        <w:tc>
          <w:tcPr>
            <w:tcW w:w="2880" w:type="dxa"/>
          </w:tcPr>
          <w:p w14:paraId="578BAD88" w14:textId="77777777" w:rsidR="00C7252B" w:rsidRDefault="00F90626">
            <w:r>
              <w:t>≥ 20%</w:t>
            </w:r>
          </w:p>
        </w:tc>
      </w:tr>
      <w:tr w:rsidR="00C7252B" w14:paraId="68AA9495" w14:textId="77777777">
        <w:tc>
          <w:tcPr>
            <w:tcW w:w="2880" w:type="dxa"/>
          </w:tcPr>
          <w:p w14:paraId="52ECCAF4" w14:textId="77777777" w:rsidR="00C7252B" w:rsidRDefault="00F90626">
            <w:r>
              <w:t>Formación</w:t>
            </w:r>
          </w:p>
        </w:tc>
        <w:tc>
          <w:tcPr>
            <w:tcW w:w="2880" w:type="dxa"/>
          </w:tcPr>
          <w:p w14:paraId="6132E50E" w14:textId="77777777" w:rsidR="00C7252B" w:rsidRDefault="00F90626">
            <w:r>
              <w:t>N° de capacitaciones docentes</w:t>
            </w:r>
          </w:p>
        </w:tc>
        <w:tc>
          <w:tcPr>
            <w:tcW w:w="2880" w:type="dxa"/>
          </w:tcPr>
          <w:p w14:paraId="788A31EF" w14:textId="77777777" w:rsidR="00C7252B" w:rsidRDefault="00F90626">
            <w:r>
              <w:t>≥ 3</w:t>
            </w:r>
          </w:p>
        </w:tc>
      </w:tr>
    </w:tbl>
    <w:p w14:paraId="73131495" w14:textId="77777777" w:rsidR="00C7252B" w:rsidRDefault="00F90626">
      <w:pPr>
        <w:pStyle w:val="Ttulo2"/>
      </w:pPr>
      <w:r>
        <w:t>7. Anexos</w:t>
      </w:r>
    </w:p>
    <w:p w14:paraId="3E098D04" w14:textId="77777777" w:rsidR="00C7252B" w:rsidRDefault="00F90626">
      <w:r>
        <w:t>• Cronograma detallado mensual.</w:t>
      </w:r>
      <w:r>
        <w:br/>
        <w:t>• Formato de registro de casos y compromisos.</w:t>
      </w:r>
      <w:r>
        <w:br/>
        <w:t xml:space="preserve">• Protocolo de </w:t>
      </w:r>
      <w:r>
        <w:t>atención según Decreto 1965 de 2013.</w:t>
      </w:r>
      <w:r>
        <w:br/>
        <w:t>• Evidencias de campañas y talleres.</w:t>
      </w:r>
    </w:p>
    <w:sectPr w:rsidR="00C7252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4C9D" w14:textId="77777777" w:rsidR="00F90626" w:rsidRDefault="00F90626" w:rsidP="00636B80">
      <w:pPr>
        <w:spacing w:after="0" w:line="240" w:lineRule="auto"/>
      </w:pPr>
      <w:r>
        <w:separator/>
      </w:r>
    </w:p>
  </w:endnote>
  <w:endnote w:type="continuationSeparator" w:id="0">
    <w:p w14:paraId="0516F439" w14:textId="77777777" w:rsidR="00F90626" w:rsidRDefault="00F90626" w:rsidP="0063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86D2" w14:textId="77777777" w:rsidR="00F90626" w:rsidRDefault="00F90626" w:rsidP="00636B80">
      <w:pPr>
        <w:spacing w:after="0" w:line="240" w:lineRule="auto"/>
      </w:pPr>
      <w:r>
        <w:separator/>
      </w:r>
    </w:p>
  </w:footnote>
  <w:footnote w:type="continuationSeparator" w:id="0">
    <w:p w14:paraId="1F576873" w14:textId="77777777" w:rsidR="00F90626" w:rsidRDefault="00F90626" w:rsidP="0063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35C7" w14:textId="77777777" w:rsidR="00636B80" w:rsidRPr="00636B80" w:rsidRDefault="00636B80" w:rsidP="00636B80">
    <w:pPr>
      <w:tabs>
        <w:tab w:val="right" w:pos="10802"/>
      </w:tabs>
      <w:spacing w:after="0" w:line="360" w:lineRule="auto"/>
      <w:rPr>
        <w:rFonts w:ascii="Arial" w:eastAsia="Times New Roman" w:hAnsi="Arial" w:cs="Arial"/>
        <w:sz w:val="16"/>
        <w:szCs w:val="16"/>
        <w:lang w:val="es-ES_tradnl" w:eastAsia="es-ES"/>
      </w:rPr>
    </w:pPr>
    <w:r w:rsidRPr="00636B80">
      <w:rPr>
        <w:rFonts w:ascii="Arial" w:eastAsia="Times New Roman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4C54465F" wp14:editId="581C827A">
          <wp:simplePos x="0" y="0"/>
          <wp:positionH relativeFrom="column">
            <wp:posOffset>-117475</wp:posOffset>
          </wp:positionH>
          <wp:positionV relativeFrom="paragraph">
            <wp:posOffset>74295</wp:posOffset>
          </wp:positionV>
          <wp:extent cx="809625" cy="695325"/>
          <wp:effectExtent l="0" t="0" r="9525" b="9525"/>
          <wp:wrapTight wrapText="bothSides">
            <wp:wrapPolygon edited="0">
              <wp:start x="0" y="0"/>
              <wp:lineTo x="0" y="21304"/>
              <wp:lineTo x="21346" y="21304"/>
              <wp:lineTo x="21346" y="0"/>
              <wp:lineTo x="0" y="0"/>
            </wp:wrapPolygon>
          </wp:wrapTight>
          <wp:docPr id="2" name="Imagen 2" descr="D:\Mis documentos\2019\Postprimaria\propio escudo san isid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is documentos\2019\Postprimaria\propio escudo san isid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B80">
      <w:rPr>
        <w:rFonts w:ascii="Arial" w:eastAsia="Times New Roman" w:hAnsi="Arial" w:cs="Arial"/>
        <w:sz w:val="16"/>
        <w:szCs w:val="16"/>
        <w:lang w:val="es-ES" w:eastAsia="es-ES"/>
      </w:rPr>
      <w:ptab w:relativeTo="margin" w:alignment="left" w:leader="none"/>
    </w:r>
    <w:r w:rsidRPr="00636B80">
      <w:rPr>
        <w:rFonts w:ascii="Arial" w:eastAsia="Times New Roman" w:hAnsi="Arial" w:cs="Arial"/>
        <w:sz w:val="16"/>
        <w:szCs w:val="16"/>
        <w:lang w:val="es-ES" w:eastAsia="es-ES"/>
      </w:rPr>
      <w:t xml:space="preserve">                                                                                     </w:t>
    </w:r>
    <w:r w:rsidRPr="00636B80">
      <w:rPr>
        <w:rFonts w:ascii="Arial" w:eastAsia="Times New Roman" w:hAnsi="Arial" w:cs="Arial"/>
        <w:sz w:val="16"/>
        <w:szCs w:val="16"/>
        <w:lang w:val="es-ES_tradnl" w:eastAsia="es-ES"/>
      </w:rPr>
      <w:t>República de Colombia</w:t>
    </w:r>
  </w:p>
  <w:p w14:paraId="5F1C040F" w14:textId="77777777" w:rsidR="00636B80" w:rsidRPr="00636B80" w:rsidRDefault="00636B80" w:rsidP="00636B80">
    <w:pPr>
      <w:tabs>
        <w:tab w:val="right" w:pos="10802"/>
      </w:tabs>
      <w:spacing w:after="0" w:line="360" w:lineRule="auto"/>
      <w:jc w:val="center"/>
      <w:rPr>
        <w:rFonts w:ascii="Arial" w:eastAsia="Times New Roman" w:hAnsi="Arial" w:cs="Arial"/>
        <w:sz w:val="16"/>
        <w:szCs w:val="16"/>
        <w:lang w:val="es-ES_tradnl" w:eastAsia="es-ES"/>
      </w:rPr>
    </w:pPr>
    <w:r w:rsidRPr="00636B80">
      <w:rPr>
        <w:rFonts w:ascii="Times New Roman" w:eastAsia="Times New Roman" w:hAnsi="Times New Roman" w:cs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1" locked="0" layoutInCell="1" allowOverlap="1" wp14:anchorId="58C66599" wp14:editId="4E349245">
          <wp:simplePos x="0" y="0"/>
          <wp:positionH relativeFrom="column">
            <wp:posOffset>4960620</wp:posOffset>
          </wp:positionH>
          <wp:positionV relativeFrom="paragraph">
            <wp:posOffset>19685</wp:posOffset>
          </wp:positionV>
          <wp:extent cx="1115060" cy="652780"/>
          <wp:effectExtent l="0" t="0" r="8890" b="0"/>
          <wp:wrapNone/>
          <wp:docPr id="3" name="Imagen 3" descr="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B80">
      <w:rPr>
        <w:rFonts w:ascii="Arial" w:eastAsia="Times New Roman" w:hAnsi="Arial" w:cs="Arial"/>
        <w:sz w:val="16"/>
        <w:szCs w:val="16"/>
        <w:lang w:val="es-ES_tradnl" w:eastAsia="es-ES"/>
      </w:rPr>
      <w:t>Secretaria de Educación del Norte de Santander</w:t>
    </w:r>
  </w:p>
  <w:p w14:paraId="50D49B86" w14:textId="77777777" w:rsidR="00636B80" w:rsidRPr="00636B80" w:rsidRDefault="00636B80" w:rsidP="00636B80">
    <w:pPr>
      <w:tabs>
        <w:tab w:val="right" w:pos="10802"/>
      </w:tabs>
      <w:spacing w:after="0" w:line="360" w:lineRule="auto"/>
      <w:jc w:val="center"/>
      <w:rPr>
        <w:rFonts w:ascii="Copperplate Gothic Light" w:eastAsia="Times New Roman" w:hAnsi="Copperplate Gothic Light" w:cs="Arial"/>
        <w:b/>
        <w:sz w:val="18"/>
        <w:szCs w:val="18"/>
        <w:lang w:val="es-ES_tradnl" w:eastAsia="es-ES"/>
      </w:rPr>
    </w:pPr>
    <w:r w:rsidRPr="00636B80">
      <w:rPr>
        <w:rFonts w:ascii="Copperplate Gothic Light" w:eastAsia="Times New Roman" w:hAnsi="Copperplate Gothic Light" w:cs="Arial"/>
        <w:b/>
        <w:sz w:val="18"/>
        <w:szCs w:val="18"/>
        <w:lang w:val="es-ES_tradnl" w:eastAsia="es-ES"/>
      </w:rPr>
      <w:t xml:space="preserve">CENTRO EDUCATIVO RURAL SAN ISIDRO – GRAMALOTE  </w:t>
    </w:r>
  </w:p>
  <w:p w14:paraId="075F48FD" w14:textId="77777777" w:rsidR="00636B80" w:rsidRPr="00636B80" w:rsidRDefault="00636B80" w:rsidP="00636B80">
    <w:pPr>
      <w:tabs>
        <w:tab w:val="right" w:pos="10802"/>
      </w:tabs>
      <w:spacing w:after="0" w:line="360" w:lineRule="auto"/>
      <w:jc w:val="center"/>
      <w:rPr>
        <w:rFonts w:ascii="Arial" w:eastAsia="Times New Roman" w:hAnsi="Arial" w:cs="Arial"/>
        <w:sz w:val="16"/>
        <w:szCs w:val="16"/>
        <w:lang w:val="es-ES_tradnl" w:eastAsia="es-ES"/>
      </w:rPr>
    </w:pPr>
    <w:r w:rsidRPr="00636B80">
      <w:rPr>
        <w:rFonts w:ascii="Arial" w:eastAsia="Times New Roman" w:hAnsi="Arial" w:cs="Arial"/>
        <w:sz w:val="16"/>
        <w:szCs w:val="16"/>
        <w:lang w:val="es-ES_tradnl" w:eastAsia="es-ES"/>
      </w:rPr>
      <w:t>Creado por Decreto No. 000252 de abril 12 de 2005</w:t>
    </w:r>
  </w:p>
  <w:p w14:paraId="6D7FB533" w14:textId="77777777" w:rsidR="00636B80" w:rsidRPr="00636B80" w:rsidRDefault="00636B80" w:rsidP="00636B80">
    <w:pPr>
      <w:tabs>
        <w:tab w:val="right" w:pos="10802"/>
      </w:tabs>
      <w:spacing w:after="0" w:line="360" w:lineRule="auto"/>
      <w:jc w:val="center"/>
      <w:rPr>
        <w:rFonts w:ascii="Arial" w:eastAsia="Times New Roman" w:hAnsi="Arial" w:cs="Arial"/>
        <w:sz w:val="16"/>
        <w:szCs w:val="16"/>
        <w:lang w:val="es-ES_tradnl" w:eastAsia="es-ES"/>
      </w:rPr>
    </w:pPr>
    <w:r w:rsidRPr="00636B80">
      <w:rPr>
        <w:rFonts w:ascii="Arial" w:eastAsia="Times New Roman" w:hAnsi="Arial" w:cs="Arial"/>
        <w:sz w:val="16"/>
        <w:szCs w:val="16"/>
        <w:lang w:val="es-ES_tradnl" w:eastAsia="es-ES"/>
      </w:rPr>
      <w:t>Licencia de funcionamiento – Resolución No. 001715 de nov. 03 de 2006</w:t>
    </w:r>
  </w:p>
  <w:p w14:paraId="57575492" w14:textId="77777777" w:rsidR="00636B80" w:rsidRPr="00636B80" w:rsidRDefault="00636B80" w:rsidP="00636B80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O"/>
      </w:rPr>
    </w:pPr>
    <w:r w:rsidRPr="00636B80">
      <w:rPr>
        <w:rFonts w:ascii="Arial" w:eastAsia="MS Mincho" w:hAnsi="Arial" w:cs="Arial"/>
        <w:sz w:val="16"/>
        <w:szCs w:val="16"/>
        <w:lang w:val="es-ES_tradnl" w:eastAsia="es-ES"/>
      </w:rPr>
      <w:t xml:space="preserve">                                                                                       DANE 254313000186</w:t>
    </w:r>
  </w:p>
  <w:p w14:paraId="74C94274" w14:textId="77777777" w:rsidR="00636B80" w:rsidRDefault="00636B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6B80"/>
    <w:rsid w:val="00AA1D8D"/>
    <w:rsid w:val="00B47730"/>
    <w:rsid w:val="00C7252B"/>
    <w:rsid w:val="00CB0664"/>
    <w:rsid w:val="00F906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731F"/>
  <w14:defaultImageDpi w14:val="300"/>
  <w15:docId w15:val="{CC8B34F6-8847-4895-8B6D-096693F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2025-10-06T20:21:00Z</dcterms:created>
  <dcterms:modified xsi:type="dcterms:W3CDTF">2025-10-06T20:21:00Z</dcterms:modified>
  <cp:category/>
</cp:coreProperties>
</file>