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AB460" w14:textId="77777777" w:rsidR="003B16E4" w:rsidRDefault="003B16E4" w:rsidP="00072564">
      <w:pPr>
        <w:pStyle w:val="Ttulo2"/>
        <w:jc w:val="both"/>
      </w:pPr>
      <w:bookmarkStart w:id="0" w:name="_Toc177986973"/>
      <w:r w:rsidRPr="00D12FB0">
        <w:t>MODELO</w:t>
      </w:r>
      <w:r w:rsidRPr="00C84D76">
        <w:t xml:space="preserve"> EDUCATIVO FLEXIBLE “COMPRENDER Y PROSPERAR”</w:t>
      </w:r>
      <w:bookmarkEnd w:id="0"/>
    </w:p>
    <w:p w14:paraId="6F26830A" w14:textId="77777777" w:rsidR="003B16E4" w:rsidRPr="00C84D76" w:rsidRDefault="003B16E4" w:rsidP="00072564">
      <w:pPr>
        <w:pStyle w:val="Ttulo2"/>
        <w:ind w:left="0" w:firstLine="0"/>
        <w:jc w:val="both"/>
        <w:rPr>
          <w:sz w:val="20"/>
          <w:szCs w:val="20"/>
        </w:rPr>
      </w:pPr>
    </w:p>
    <w:p w14:paraId="337E115E" w14:textId="67D68406" w:rsidR="003B16E4" w:rsidRDefault="00550E92" w:rsidP="00072564">
      <w:pPr>
        <w:jc w:val="both"/>
        <w:rPr>
          <w:b/>
          <w:bCs/>
        </w:rPr>
      </w:pPr>
      <w:r>
        <w:t xml:space="preserve">La Institución Educativa Instituto Agrícola Risaralda, actualmente ofrece a la comunidad, la formación para adultos bajo el modelo educativo flexible </w:t>
      </w:r>
      <w:r w:rsidR="003B16E4">
        <w:t>“</w:t>
      </w:r>
      <w:r w:rsidR="003B16E4" w:rsidRPr="00C84D76">
        <w:t>Comprender y Prosperar</w:t>
      </w:r>
      <w:r w:rsidR="003B16E4">
        <w:t>”</w:t>
      </w:r>
      <w:r w:rsidR="00295414">
        <w:t xml:space="preserve">, </w:t>
      </w:r>
      <w:proofErr w:type="spellStart"/>
      <w:r w:rsidR="00295414">
        <w:t>el</w:t>
      </w:r>
      <w:proofErr w:type="spellEnd"/>
      <w:r w:rsidR="00295414">
        <w:t xml:space="preserve"> cual </w:t>
      </w:r>
      <w:r w:rsidR="003B16E4" w:rsidRPr="00C84D76">
        <w:t xml:space="preserve"> es un producto de la Corporación Educativa </w:t>
      </w:r>
      <w:proofErr w:type="spellStart"/>
      <w:r w:rsidR="00072564">
        <w:t>Fa</w:t>
      </w:r>
      <w:r w:rsidR="003B16E4" w:rsidRPr="00C84D76">
        <w:t>sed</w:t>
      </w:r>
      <w:proofErr w:type="spellEnd"/>
      <w:r w:rsidR="003B16E4">
        <w:t xml:space="preserve"> </w:t>
      </w:r>
      <w:r w:rsidR="003B16E4" w:rsidRPr="00C84D76">
        <w:t>en el que pus</w:t>
      </w:r>
      <w:r w:rsidR="00295414">
        <w:t>o</w:t>
      </w:r>
      <w:r w:rsidR="003B16E4" w:rsidRPr="00C84D76">
        <w:t xml:space="preserve"> en práctica las </w:t>
      </w:r>
      <w:r w:rsidR="003B16E4">
        <w:t>m</w:t>
      </w:r>
      <w:r w:rsidR="003B16E4" w:rsidRPr="00C84D76">
        <w:t>ejores y más actuales teorías sobre la enseñanza,</w:t>
      </w:r>
      <w:r w:rsidR="003B16E4">
        <w:t xml:space="preserve"> </w:t>
      </w:r>
      <w:r w:rsidR="003B16E4" w:rsidRPr="00C84D76">
        <w:t>el aprendizaje y el desarrollo del pensamiento humano con el fin de apoyar a</w:t>
      </w:r>
      <w:r w:rsidR="003B16E4">
        <w:t xml:space="preserve"> </w:t>
      </w:r>
      <w:r w:rsidR="003B16E4" w:rsidRPr="00C84D76">
        <w:t>personas adultas en estado de vulnerabilidad causado, entre otros factores, por</w:t>
      </w:r>
      <w:r w:rsidR="003B16E4">
        <w:t xml:space="preserve"> </w:t>
      </w:r>
      <w:r w:rsidR="003B16E4" w:rsidRPr="00C84D76">
        <w:t>una educación deficiente e incompleta.</w:t>
      </w:r>
      <w:r w:rsidR="003B16E4">
        <w:t xml:space="preserve"> </w:t>
      </w:r>
      <w:r w:rsidR="003B16E4" w:rsidRPr="00C84D76">
        <w:t>Este trabajo se realizó en el contexto de diversos proyectos de asistencia a diferentes poblaciones de jóvenes y adultos y de proyectos de investigación educativa</w:t>
      </w:r>
      <w:r w:rsidR="003B16E4">
        <w:t xml:space="preserve"> </w:t>
      </w:r>
      <w:r w:rsidR="003B16E4" w:rsidRPr="00C84D76">
        <w:t>encaminados a encontrar formas de enseñanza más eficaces y eficientes para desarrollar en ellos las competencias necesarias para obtener el título de bachiller y</w:t>
      </w:r>
      <w:r w:rsidR="003B16E4">
        <w:t xml:space="preserve"> </w:t>
      </w:r>
      <w:r w:rsidR="003B16E4" w:rsidRPr="00C84D76">
        <w:t>tener una vida próspera y feliz.</w:t>
      </w:r>
    </w:p>
    <w:p w14:paraId="5CB5D241" w14:textId="77777777" w:rsidR="00295414" w:rsidRDefault="00295414" w:rsidP="00072564">
      <w:pPr>
        <w:jc w:val="both"/>
      </w:pPr>
    </w:p>
    <w:p w14:paraId="066D0B02" w14:textId="2B93B5E5" w:rsidR="003B16E4" w:rsidRDefault="003B16E4" w:rsidP="00072564">
      <w:pPr>
        <w:jc w:val="both"/>
        <w:rPr>
          <w:b/>
          <w:bCs/>
        </w:rPr>
      </w:pPr>
      <w:r w:rsidRPr="000947CC">
        <w:t>Comprender y Prosperar tiene objetivo principal brindar a la población focalizada</w:t>
      </w:r>
      <w:r>
        <w:t xml:space="preserve"> </w:t>
      </w:r>
      <w:r w:rsidRPr="000947CC">
        <w:t>en condición de vulnerabilidad el acceso y permanencia a una educación formal de</w:t>
      </w:r>
      <w:r>
        <w:t xml:space="preserve"> </w:t>
      </w:r>
      <w:r w:rsidRPr="000947CC">
        <w:t>alta calidad, bajo la modalidad de educación semipresencial por ciclos, en orden a</w:t>
      </w:r>
      <w:r>
        <w:t xml:space="preserve"> </w:t>
      </w:r>
      <w:r w:rsidRPr="000947CC">
        <w:t>garantizarles el derecho a la educación consagrado en el art</w:t>
      </w:r>
      <w:r>
        <w:t>í</w:t>
      </w:r>
      <w:r w:rsidRPr="000947CC">
        <w:t>culo 67 de la Constitución</w:t>
      </w:r>
      <w:r>
        <w:t xml:space="preserve"> </w:t>
      </w:r>
      <w:r w:rsidRPr="000947CC">
        <w:t>Política de Colombia, procu</w:t>
      </w:r>
      <w:r>
        <w:t>r</w:t>
      </w:r>
      <w:r w:rsidRPr="000947CC">
        <w:t>ando que se impacte de manera rápida y directa la calidad</w:t>
      </w:r>
      <w:r>
        <w:t xml:space="preserve"> </w:t>
      </w:r>
      <w:r w:rsidRPr="000947CC">
        <w:t>de sus vidas.</w:t>
      </w:r>
    </w:p>
    <w:p w14:paraId="204C069F" w14:textId="77777777" w:rsidR="003B16E4" w:rsidRDefault="003B16E4" w:rsidP="00072564">
      <w:pPr>
        <w:pStyle w:val="Ttulo2"/>
        <w:ind w:left="0" w:firstLine="0"/>
        <w:jc w:val="both"/>
        <w:rPr>
          <w:b w:val="0"/>
          <w:bCs w:val="0"/>
          <w:sz w:val="20"/>
          <w:szCs w:val="20"/>
        </w:rPr>
      </w:pPr>
    </w:p>
    <w:p w14:paraId="1FA6D2C3" w14:textId="77777777" w:rsidR="003B16E4" w:rsidRPr="00295414" w:rsidRDefault="003B16E4" w:rsidP="00072564">
      <w:pPr>
        <w:pStyle w:val="Ttulo2"/>
        <w:ind w:left="0" w:firstLine="0"/>
        <w:jc w:val="both"/>
        <w:rPr>
          <w:i/>
          <w:iCs/>
          <w:sz w:val="22"/>
          <w:szCs w:val="22"/>
        </w:rPr>
      </w:pPr>
      <w:bookmarkStart w:id="1" w:name="_Toc177986974"/>
      <w:r w:rsidRPr="00295414">
        <w:rPr>
          <w:i/>
          <w:iCs/>
          <w:sz w:val="22"/>
          <w:szCs w:val="22"/>
        </w:rPr>
        <w:t>Elementos del programa:</w:t>
      </w:r>
      <w:bookmarkEnd w:id="1"/>
      <w:r w:rsidRPr="00295414">
        <w:rPr>
          <w:i/>
          <w:iCs/>
          <w:sz w:val="22"/>
          <w:szCs w:val="22"/>
        </w:rPr>
        <w:t xml:space="preserve"> </w:t>
      </w:r>
    </w:p>
    <w:p w14:paraId="5DF043E0" w14:textId="77777777" w:rsidR="003B16E4" w:rsidRDefault="003B16E4" w:rsidP="00072564">
      <w:pPr>
        <w:jc w:val="both"/>
        <w:rPr>
          <w:b/>
          <w:bCs/>
        </w:rPr>
      </w:pPr>
      <w:r w:rsidRPr="00243329">
        <w:t>Pertinencia: La educación se concibe como educación para la vida y no para un examen o para el lleno de requisitos desligados de la solución de los problema</w:t>
      </w:r>
      <w:r>
        <w:t>s</w:t>
      </w:r>
      <w:r w:rsidRPr="00243329">
        <w:t xml:space="preserve"> de la vida diaria de quienes se encuentran en el proceso educativo.</w:t>
      </w:r>
    </w:p>
    <w:p w14:paraId="2915D831" w14:textId="77777777" w:rsidR="00295414" w:rsidRDefault="00295414" w:rsidP="00072564">
      <w:pPr>
        <w:jc w:val="both"/>
      </w:pPr>
    </w:p>
    <w:p w14:paraId="6568DBB0" w14:textId="77238798" w:rsidR="003B16E4" w:rsidRDefault="003B16E4" w:rsidP="00072564">
      <w:pPr>
        <w:jc w:val="both"/>
        <w:rPr>
          <w:b/>
          <w:bCs/>
        </w:rPr>
      </w:pPr>
      <w:r w:rsidRPr="00243329">
        <w:t>La comprensión: El fin último de todo proceso educativo debe ser la comprensión del mundo; el mundo de lo físico, lo biológico, lo psicológico, lo social, lo cultural...</w:t>
      </w:r>
    </w:p>
    <w:p w14:paraId="7A125940" w14:textId="77777777" w:rsidR="00295414" w:rsidRDefault="00295414" w:rsidP="00072564">
      <w:pPr>
        <w:jc w:val="both"/>
      </w:pPr>
    </w:p>
    <w:p w14:paraId="02C0DDB0" w14:textId="4613A0F3" w:rsidR="003B16E4" w:rsidRDefault="003B16E4" w:rsidP="00072564">
      <w:pPr>
        <w:jc w:val="both"/>
        <w:rPr>
          <w:b/>
          <w:bCs/>
        </w:rPr>
      </w:pPr>
      <w:r w:rsidRPr="00243329">
        <w:t>La integración: El conocimiento es integral. Es una totalidad articulada, coherente y consistente. La enseñanza debe respetar ese carácter esencial del conocimiento. Las diversas áreas del saber humano (las ciencias sociales, las ciencias naturales, el lenguaje, las matemáticas...) deben entonces enseñarse de manera integrada en torno a los problemas de los que éstas surgieron como construcciones humanas para solucionarlos.</w:t>
      </w:r>
    </w:p>
    <w:p w14:paraId="3F8C8A94" w14:textId="77777777" w:rsidR="00295414" w:rsidRDefault="00295414" w:rsidP="00072564">
      <w:pPr>
        <w:jc w:val="both"/>
      </w:pPr>
    </w:p>
    <w:p w14:paraId="3C0547E2" w14:textId="254412A8" w:rsidR="003B16E4" w:rsidRDefault="003B16E4" w:rsidP="00072564">
      <w:pPr>
        <w:jc w:val="both"/>
        <w:rPr>
          <w:b/>
          <w:bCs/>
        </w:rPr>
      </w:pPr>
      <w:r w:rsidRPr="00243329">
        <w:t>Enseñanza en torno a problemas: Enseñar en torno al planteamiento de problemas (o de tópicos generadores que son conjuntos de problemas relacionados entre sí) es una opción consistente con el objetivo de enseñar para la comprensión del mundo de la vida de quienes aprenden y el de salvaguardar de manera consecuente la integralidad del conocimiento humano: ser parte de los problemas que son el motor que hace que el conocimiento crezca permanentemente, tanto en los individuos</w:t>
      </w:r>
      <w:r>
        <w:t xml:space="preserve"> </w:t>
      </w:r>
      <w:r w:rsidRPr="00243329">
        <w:t>como en las sociedades.</w:t>
      </w:r>
    </w:p>
    <w:p w14:paraId="14AF545C" w14:textId="77777777" w:rsidR="00295414" w:rsidRDefault="00295414" w:rsidP="00072564">
      <w:pPr>
        <w:jc w:val="both"/>
      </w:pPr>
    </w:p>
    <w:p w14:paraId="31A3839E" w14:textId="2CF6D753" w:rsidR="003B16E4" w:rsidRDefault="003B16E4" w:rsidP="00072564">
      <w:pPr>
        <w:jc w:val="both"/>
        <w:rPr>
          <w:b/>
          <w:bCs/>
        </w:rPr>
      </w:pPr>
      <w:r w:rsidRPr="00243329">
        <w:t>La adaptabilidad: El modelo es adaptable a las necesidades</w:t>
      </w:r>
      <w:r>
        <w:t xml:space="preserve"> </w:t>
      </w:r>
      <w:r w:rsidRPr="00243329">
        <w:t>y circunstancias especiales propias de los aprendices que se encuentran rezagados en el desarrollo de su proceso educativo.</w:t>
      </w:r>
    </w:p>
    <w:p w14:paraId="68FD1F0F" w14:textId="77777777" w:rsidR="003B16E4" w:rsidRDefault="003B16E4" w:rsidP="00072564">
      <w:pPr>
        <w:jc w:val="both"/>
        <w:rPr>
          <w:b/>
          <w:bCs/>
        </w:rPr>
      </w:pPr>
    </w:p>
    <w:p w14:paraId="519D7A69" w14:textId="77777777" w:rsidR="003B16E4" w:rsidRPr="00243329" w:rsidRDefault="003B16E4" w:rsidP="00072564">
      <w:pPr>
        <w:jc w:val="both"/>
        <w:rPr>
          <w:b/>
          <w:bCs/>
        </w:rPr>
      </w:pPr>
      <w:r w:rsidRPr="00243329">
        <w:t xml:space="preserve">La prosperidad: La comprensión deriva su importancia del hecho de que es una condición </w:t>
      </w:r>
      <w:r w:rsidRPr="00243329">
        <w:lastRenderedPageBreak/>
        <w:t>necesaria para que los adultos en formación logren ser personas prósperas; es decir, personas exitosas en sus actividades de producción económica en la que apoyarán la realización de su proyecto de vida feliz.</w:t>
      </w:r>
    </w:p>
    <w:p w14:paraId="216DE091" w14:textId="77777777" w:rsidR="003B16E4" w:rsidRDefault="003B16E4" w:rsidP="00072564">
      <w:pPr>
        <w:jc w:val="both"/>
        <w:rPr>
          <w:i/>
          <w:iCs/>
        </w:rPr>
      </w:pPr>
    </w:p>
    <w:p w14:paraId="0F4CED06" w14:textId="77777777" w:rsidR="003B16E4" w:rsidRPr="00295414" w:rsidRDefault="003B16E4" w:rsidP="00072564">
      <w:pPr>
        <w:jc w:val="both"/>
        <w:rPr>
          <w:b/>
          <w:bCs/>
          <w:i/>
          <w:iCs/>
        </w:rPr>
      </w:pPr>
      <w:r w:rsidRPr="00295414">
        <w:rPr>
          <w:b/>
          <w:bCs/>
          <w:i/>
          <w:iCs/>
        </w:rPr>
        <w:t>Materiales para implementar los CLEI</w:t>
      </w:r>
    </w:p>
    <w:p w14:paraId="152DCA8F" w14:textId="77777777" w:rsidR="003B16E4" w:rsidRDefault="003B16E4" w:rsidP="00072564">
      <w:pPr>
        <w:jc w:val="both"/>
        <w:rPr>
          <w:i/>
          <w:iCs/>
        </w:rPr>
      </w:pPr>
    </w:p>
    <w:p w14:paraId="18C09F73" w14:textId="77777777" w:rsidR="003B16E4" w:rsidRDefault="003B16E4" w:rsidP="00072564">
      <w:pPr>
        <w:jc w:val="both"/>
        <w:rPr>
          <w:b/>
          <w:bCs/>
        </w:rPr>
      </w:pPr>
      <w:r w:rsidRPr="00A455DD">
        <w:t>Construyeron 16 unidades de trabajo académico con el fin de brindar la posibilidad de que cualquier persona con rezago educativo pueda desarrollar el proceso de educación primaria, secundaria o media, parcial o totalmente, con la flexibilidad necesaria para que pueda combinar las actividades diarias que las obligaciones propias de la vida imponen con aquellas actividades académicas necesarias para adquirir los conocimientos exigidos en Colombia para obtener el título de bachiller.</w:t>
      </w:r>
    </w:p>
    <w:p w14:paraId="446D3026" w14:textId="77777777" w:rsidR="00295414" w:rsidRDefault="00295414" w:rsidP="00072564">
      <w:pPr>
        <w:jc w:val="both"/>
      </w:pPr>
    </w:p>
    <w:p w14:paraId="30B1CDE7" w14:textId="0DAD178D" w:rsidR="003B16E4" w:rsidRPr="00A455DD" w:rsidRDefault="003B16E4" w:rsidP="00072564">
      <w:pPr>
        <w:jc w:val="both"/>
        <w:rPr>
          <w:b/>
          <w:bCs/>
        </w:rPr>
      </w:pPr>
      <w:r w:rsidRPr="00A455DD">
        <w:t>Las 16 unidades se distribuyen en 6 ciclos lectivos, con tres unidades para el ciclo 1, tres unidades para los ciclos 2 a 4 y dos unidades para cada uno de los ciclos 5 y 6.</w:t>
      </w:r>
      <w:r>
        <w:t xml:space="preserve"> </w:t>
      </w:r>
      <w:r w:rsidRPr="00A455DD">
        <w:t>Adem</w:t>
      </w:r>
      <w:r>
        <w:t>á</w:t>
      </w:r>
      <w:r w:rsidRPr="00A455DD">
        <w:t>s</w:t>
      </w:r>
      <w:r>
        <w:t>,</w:t>
      </w:r>
      <w:r w:rsidRPr="00A455DD">
        <w:t xml:space="preserve"> unidades didácticas de </w:t>
      </w:r>
      <w:r>
        <w:t>i</w:t>
      </w:r>
      <w:r w:rsidRPr="00A455DD">
        <w:t>nglés para los ciclos del 2 al 6. Los problemas tratados en cada ciclo están construidos de tal forma que su tratamiento permitirá obtener los conocimientos y desarrollar las competencias exigidas en los niveles de la educación formal de la manera como se describe en la siguiente tabla:</w:t>
      </w:r>
    </w:p>
    <w:p w14:paraId="3034E991" w14:textId="77777777" w:rsidR="003B16E4" w:rsidRDefault="003B16E4" w:rsidP="00072564">
      <w:pPr>
        <w:jc w:val="both"/>
        <w:rPr>
          <w:b/>
          <w:bCs/>
        </w:rPr>
      </w:pPr>
    </w:p>
    <w:p w14:paraId="78F1208F" w14:textId="77777777" w:rsidR="003B16E4" w:rsidRDefault="003B16E4" w:rsidP="00072564">
      <w:pPr>
        <w:jc w:val="center"/>
        <w:rPr>
          <w:b/>
          <w:bCs/>
        </w:rPr>
      </w:pPr>
      <w:r>
        <w:rPr>
          <w:noProof/>
        </w:rPr>
        <w:drawing>
          <wp:inline distT="0" distB="0" distL="0" distR="0" wp14:anchorId="5401360B" wp14:editId="4D831478">
            <wp:extent cx="3028950" cy="1403660"/>
            <wp:effectExtent l="0" t="0" r="0" b="0"/>
            <wp:docPr id="427695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95671" name=""/>
                    <pic:cNvPicPr/>
                  </pic:nvPicPr>
                  <pic:blipFill>
                    <a:blip r:embed="rId6"/>
                    <a:stretch>
                      <a:fillRect/>
                    </a:stretch>
                  </pic:blipFill>
                  <pic:spPr>
                    <a:xfrm>
                      <a:off x="0" y="0"/>
                      <a:ext cx="3040206" cy="1408876"/>
                    </a:xfrm>
                    <a:prstGeom prst="rect">
                      <a:avLst/>
                    </a:prstGeom>
                  </pic:spPr>
                </pic:pic>
              </a:graphicData>
            </a:graphic>
          </wp:inline>
        </w:drawing>
      </w:r>
    </w:p>
    <w:p w14:paraId="557B19B1" w14:textId="77777777" w:rsidR="003B16E4" w:rsidRDefault="003B16E4" w:rsidP="00072564">
      <w:pPr>
        <w:jc w:val="both"/>
        <w:rPr>
          <w:b/>
          <w:bCs/>
        </w:rPr>
      </w:pPr>
    </w:p>
    <w:p w14:paraId="6E956BFF" w14:textId="77777777" w:rsidR="003B16E4" w:rsidRPr="00295414" w:rsidRDefault="003B16E4" w:rsidP="00072564">
      <w:pPr>
        <w:jc w:val="both"/>
        <w:rPr>
          <w:b/>
          <w:bCs/>
          <w:i/>
          <w:iCs/>
        </w:rPr>
      </w:pPr>
      <w:r w:rsidRPr="00295414">
        <w:rPr>
          <w:b/>
          <w:bCs/>
          <w:i/>
          <w:iCs/>
        </w:rPr>
        <w:t>¿De qué se compone el material escrito para cada unidad?</w:t>
      </w:r>
    </w:p>
    <w:p w14:paraId="56F9A2C2" w14:textId="77777777" w:rsidR="00295414" w:rsidRDefault="00295414" w:rsidP="00072564">
      <w:pPr>
        <w:jc w:val="both"/>
      </w:pPr>
    </w:p>
    <w:p w14:paraId="755D0786" w14:textId="2BDCF6ED" w:rsidR="003B16E4" w:rsidRPr="003B57AD" w:rsidRDefault="003B16E4" w:rsidP="00072564">
      <w:pPr>
        <w:jc w:val="both"/>
        <w:rPr>
          <w:b/>
          <w:bCs/>
        </w:rPr>
      </w:pPr>
      <w:r w:rsidRPr="003B57AD">
        <w:t>El material para cada unidad está compuesto por:</w:t>
      </w:r>
    </w:p>
    <w:p w14:paraId="0CF6A37B" w14:textId="77777777" w:rsidR="003B16E4" w:rsidRPr="003B57AD" w:rsidRDefault="003B16E4" w:rsidP="00072564">
      <w:pPr>
        <w:jc w:val="both"/>
        <w:rPr>
          <w:b/>
          <w:bCs/>
        </w:rPr>
      </w:pPr>
      <w:r w:rsidRPr="003B57AD">
        <w:t>1. Un cuaderno de trabajo en el salón de clase, para ser utilizada en grupo en el salón de</w:t>
      </w:r>
      <w:r>
        <w:t xml:space="preserve"> </w:t>
      </w:r>
      <w:r w:rsidRPr="003B57AD">
        <w:t>clase, con la orientación del docente.</w:t>
      </w:r>
    </w:p>
    <w:p w14:paraId="6CEA6CA3" w14:textId="77777777" w:rsidR="003B16E4" w:rsidRPr="003B57AD" w:rsidRDefault="003B16E4" w:rsidP="00072564">
      <w:pPr>
        <w:jc w:val="both"/>
        <w:rPr>
          <w:b/>
          <w:bCs/>
        </w:rPr>
      </w:pPr>
      <w:r w:rsidRPr="003B57AD">
        <w:t>2. Un cuaderno de trabajo en la casa, para que el estudiante trabaje individualmente en</w:t>
      </w:r>
      <w:r>
        <w:t xml:space="preserve"> </w:t>
      </w:r>
      <w:r w:rsidRPr="003B57AD">
        <w:t>su casa.</w:t>
      </w:r>
    </w:p>
    <w:p w14:paraId="7856A9F0" w14:textId="77777777" w:rsidR="003B16E4" w:rsidRPr="003B57AD" w:rsidRDefault="003B16E4" w:rsidP="00072564">
      <w:pPr>
        <w:jc w:val="both"/>
        <w:rPr>
          <w:b/>
          <w:bCs/>
        </w:rPr>
      </w:pPr>
      <w:r w:rsidRPr="003B57AD">
        <w:t xml:space="preserve">3. Un cuaderno de trabajo de </w:t>
      </w:r>
      <w:r>
        <w:t>i</w:t>
      </w:r>
      <w:r w:rsidRPr="003B57AD">
        <w:t>nglés, para que el estudiante trabaje individualmente tanto en</w:t>
      </w:r>
      <w:r>
        <w:t xml:space="preserve"> </w:t>
      </w:r>
      <w:r w:rsidRPr="003B57AD">
        <w:t>el salón de clase como en su casa.</w:t>
      </w:r>
    </w:p>
    <w:p w14:paraId="2FC25ECA" w14:textId="77777777" w:rsidR="003B16E4" w:rsidRDefault="003B16E4" w:rsidP="00072564">
      <w:pPr>
        <w:jc w:val="both"/>
        <w:rPr>
          <w:b/>
          <w:bCs/>
        </w:rPr>
      </w:pPr>
      <w:r w:rsidRPr="003B57AD">
        <w:t>4. Una batería de pruebas para evaluar formativamente el aprendizaje logrado con la unidad</w:t>
      </w:r>
      <w:r>
        <w:t xml:space="preserve"> </w:t>
      </w:r>
      <w:r w:rsidRPr="003B57AD">
        <w:t>por los estudiantes.</w:t>
      </w:r>
    </w:p>
    <w:p w14:paraId="4EBB35F0" w14:textId="77777777" w:rsidR="003B16E4" w:rsidRDefault="003B16E4" w:rsidP="00072564">
      <w:pPr>
        <w:jc w:val="both"/>
        <w:rPr>
          <w:b/>
          <w:bCs/>
        </w:rPr>
      </w:pPr>
    </w:p>
    <w:p w14:paraId="7F1107C2" w14:textId="77777777" w:rsidR="003B16E4" w:rsidRPr="00D6252D" w:rsidRDefault="003B16E4" w:rsidP="00072564">
      <w:pPr>
        <w:jc w:val="both"/>
        <w:rPr>
          <w:b/>
          <w:bCs/>
          <w:i/>
          <w:iCs/>
        </w:rPr>
      </w:pPr>
      <w:r w:rsidRPr="00D6252D">
        <w:rPr>
          <w:b/>
          <w:bCs/>
          <w:i/>
          <w:iCs/>
        </w:rPr>
        <w:t>El material que acompaña a las 16 unidades</w:t>
      </w:r>
    </w:p>
    <w:p w14:paraId="434DD797" w14:textId="77777777" w:rsidR="00D6252D" w:rsidRDefault="00D6252D" w:rsidP="00072564">
      <w:pPr>
        <w:jc w:val="both"/>
      </w:pPr>
    </w:p>
    <w:p w14:paraId="4B6399EF" w14:textId="721FA6C5" w:rsidR="003B16E4" w:rsidRDefault="003B16E4" w:rsidP="00072564">
      <w:pPr>
        <w:jc w:val="both"/>
        <w:rPr>
          <w:b/>
          <w:bCs/>
        </w:rPr>
      </w:pPr>
      <w:r w:rsidRPr="003B57AD">
        <w:t>Las 16 unidades se acompañan de:</w:t>
      </w:r>
    </w:p>
    <w:p w14:paraId="4715346D" w14:textId="77777777" w:rsidR="003B16E4" w:rsidRPr="003B57AD" w:rsidRDefault="003B16E4" w:rsidP="00072564">
      <w:pPr>
        <w:jc w:val="both"/>
        <w:rPr>
          <w:b/>
          <w:bCs/>
        </w:rPr>
      </w:pPr>
      <w:r w:rsidRPr="003B57AD">
        <w:lastRenderedPageBreak/>
        <w:t>1. Un documento que expone el modelo en el</w:t>
      </w:r>
      <w:r>
        <w:t xml:space="preserve"> </w:t>
      </w:r>
      <w:r w:rsidRPr="003B57AD">
        <w:t>que se fundamenta su construcción y un</w:t>
      </w:r>
      <w:r>
        <w:t xml:space="preserve"> </w:t>
      </w:r>
      <w:r w:rsidRPr="003B57AD">
        <w:t>documento en el que se exponen las</w:t>
      </w:r>
      <w:r>
        <w:t xml:space="preserve"> </w:t>
      </w:r>
      <w:r w:rsidRPr="003B57AD">
        <w:t>indicaciones de uso del material para que</w:t>
      </w:r>
      <w:r>
        <w:t xml:space="preserve"> </w:t>
      </w:r>
      <w:r w:rsidRPr="003B57AD">
        <w:t>éste sea consecuente con los planteamientos teóricos propios del modelo;</w:t>
      </w:r>
    </w:p>
    <w:p w14:paraId="138901D5" w14:textId="77777777" w:rsidR="003B16E4" w:rsidRDefault="003B16E4" w:rsidP="00072564">
      <w:pPr>
        <w:jc w:val="both"/>
        <w:rPr>
          <w:b/>
          <w:bCs/>
        </w:rPr>
      </w:pPr>
      <w:r w:rsidRPr="003B57AD">
        <w:t>2. Ficha Técnica.</w:t>
      </w:r>
    </w:p>
    <w:p w14:paraId="0A17FFC1" w14:textId="77777777" w:rsidR="003B16E4" w:rsidRDefault="003B16E4" w:rsidP="00072564">
      <w:pPr>
        <w:jc w:val="both"/>
        <w:rPr>
          <w:b/>
          <w:bCs/>
        </w:rPr>
      </w:pPr>
      <w:r w:rsidRPr="003B57AD">
        <w:t xml:space="preserve">3. </w:t>
      </w:r>
      <w:proofErr w:type="spellStart"/>
      <w:r w:rsidRPr="003B57AD">
        <w:t>Brochure</w:t>
      </w:r>
      <w:proofErr w:type="spellEnd"/>
      <w:r w:rsidRPr="003B57AD">
        <w:t>.</w:t>
      </w:r>
    </w:p>
    <w:p w14:paraId="55BB4B81" w14:textId="77777777" w:rsidR="003B16E4" w:rsidRDefault="003B16E4" w:rsidP="00072564">
      <w:pPr>
        <w:jc w:val="both"/>
        <w:rPr>
          <w:b/>
          <w:bCs/>
        </w:rPr>
      </w:pPr>
    </w:p>
    <w:p w14:paraId="0D4C7D24" w14:textId="77777777" w:rsidR="003B16E4" w:rsidRPr="00D6252D" w:rsidRDefault="003B16E4" w:rsidP="00072564">
      <w:pPr>
        <w:jc w:val="both"/>
        <w:rPr>
          <w:b/>
          <w:bCs/>
          <w:i/>
          <w:iCs/>
        </w:rPr>
      </w:pPr>
      <w:r w:rsidRPr="00D6252D">
        <w:rPr>
          <w:b/>
          <w:bCs/>
          <w:i/>
          <w:iCs/>
        </w:rPr>
        <w:t>Desarrollo de problemas tratados en las unidades</w:t>
      </w:r>
    </w:p>
    <w:p w14:paraId="4A69896C" w14:textId="77777777" w:rsidR="003B16E4" w:rsidRDefault="003B16E4" w:rsidP="00072564">
      <w:pPr>
        <w:jc w:val="both"/>
        <w:rPr>
          <w:b/>
          <w:bCs/>
        </w:rPr>
      </w:pPr>
      <w:r w:rsidRPr="003B57AD">
        <w:t>Los problemas tratados en las unidades se abordan desde tres perspectivas</w:t>
      </w:r>
      <w:r>
        <w:t xml:space="preserve"> </w:t>
      </w:r>
      <w:r w:rsidRPr="003B57AD">
        <w:t>diferentes:</w:t>
      </w:r>
    </w:p>
    <w:p w14:paraId="4DC9C8AE" w14:textId="77777777" w:rsidR="003B16E4" w:rsidRPr="003B57AD" w:rsidRDefault="003B16E4" w:rsidP="00072564">
      <w:pPr>
        <w:jc w:val="both"/>
        <w:rPr>
          <w:b/>
          <w:bCs/>
        </w:rPr>
      </w:pPr>
      <w:r w:rsidRPr="003B57AD">
        <w:t>1. La perspectiva de los estudiantes cuando trabajan en grupo en el salón de clases</w:t>
      </w:r>
      <w:r>
        <w:t xml:space="preserve"> </w:t>
      </w:r>
      <w:r w:rsidRPr="003B57AD">
        <w:t>bajo la orientación del docente. A esta perspectiva responde el cuaderno de</w:t>
      </w:r>
      <w:r>
        <w:t xml:space="preserve"> </w:t>
      </w:r>
      <w:r w:rsidRPr="003B57AD">
        <w:t>trabajo en el salón de clase. Es importante señalar y resaltar que este cuaderno</w:t>
      </w:r>
      <w:r>
        <w:t xml:space="preserve"> </w:t>
      </w:r>
      <w:r w:rsidRPr="003B57AD">
        <w:t>NO ES un libro de texto. Es una guía para ORIENTAR LAS ACTIVIDADES PROPUESTAS</w:t>
      </w:r>
      <w:r>
        <w:t xml:space="preserve"> </w:t>
      </w:r>
      <w:r w:rsidRPr="003B57AD">
        <w:t>PARA EL SALÓN DE CLASES; en consecuencia, nos puede remitir a diversos libros</w:t>
      </w:r>
    </w:p>
    <w:p w14:paraId="512489E3" w14:textId="77777777" w:rsidR="003B16E4" w:rsidRPr="003B57AD" w:rsidRDefault="003B16E4" w:rsidP="00072564">
      <w:pPr>
        <w:jc w:val="both"/>
        <w:rPr>
          <w:b/>
          <w:bCs/>
        </w:rPr>
      </w:pPr>
      <w:r w:rsidRPr="003B57AD">
        <w:t>de texto o a otras fuentes de información pertinente e idónea o hacer cualquier</w:t>
      </w:r>
      <w:r>
        <w:t xml:space="preserve"> </w:t>
      </w:r>
      <w:r w:rsidRPr="003B57AD">
        <w:t>otro tipo de sugerencia que se estima pertinente para lograr un mejor aprendizaje.</w:t>
      </w:r>
    </w:p>
    <w:p w14:paraId="01CA98AB" w14:textId="77777777" w:rsidR="003B16E4" w:rsidRPr="003B57AD" w:rsidRDefault="003B16E4" w:rsidP="00072564">
      <w:pPr>
        <w:jc w:val="both"/>
        <w:rPr>
          <w:b/>
          <w:bCs/>
        </w:rPr>
      </w:pPr>
      <w:r w:rsidRPr="003B57AD">
        <w:t>2. La perspectiva de los estudiantes cuando trabajan de manera individual en su</w:t>
      </w:r>
      <w:r>
        <w:t xml:space="preserve"> </w:t>
      </w:r>
      <w:r w:rsidRPr="003B57AD">
        <w:t>casa. A esta perspectiva responde el cuaderno de trabajo en casa.</w:t>
      </w:r>
    </w:p>
    <w:p w14:paraId="544F8B5F" w14:textId="77777777" w:rsidR="003B16E4" w:rsidRPr="003B57AD" w:rsidRDefault="003B16E4" w:rsidP="00072564">
      <w:pPr>
        <w:jc w:val="both"/>
        <w:rPr>
          <w:b/>
          <w:bCs/>
        </w:rPr>
      </w:pPr>
      <w:r w:rsidRPr="003B57AD">
        <w:t xml:space="preserve">3. La perspectiva de los estudiantes integrada a la universalidad del idioma </w:t>
      </w:r>
      <w:r>
        <w:t>i</w:t>
      </w:r>
      <w:r w:rsidRPr="003B57AD">
        <w:t>nglés.</w:t>
      </w:r>
      <w:r>
        <w:t xml:space="preserve"> </w:t>
      </w:r>
      <w:r w:rsidRPr="003B57AD">
        <w:t xml:space="preserve">A esta perspectiva responde el English </w:t>
      </w:r>
      <w:proofErr w:type="spellStart"/>
      <w:r w:rsidRPr="003B57AD">
        <w:t>work</w:t>
      </w:r>
      <w:proofErr w:type="spellEnd"/>
      <w:r w:rsidRPr="003B57AD">
        <w:t xml:space="preserve"> </w:t>
      </w:r>
      <w:proofErr w:type="spellStart"/>
      <w:r w:rsidRPr="003B57AD">
        <w:t>book</w:t>
      </w:r>
      <w:proofErr w:type="spellEnd"/>
      <w:r w:rsidRPr="003B57AD">
        <w:t>.</w:t>
      </w:r>
    </w:p>
    <w:p w14:paraId="74501BB6" w14:textId="77777777" w:rsidR="00D6252D" w:rsidRDefault="00D6252D" w:rsidP="00072564">
      <w:pPr>
        <w:jc w:val="both"/>
      </w:pPr>
    </w:p>
    <w:p w14:paraId="0AA29EA6" w14:textId="1C5497CC" w:rsidR="003B16E4" w:rsidRPr="003B57AD" w:rsidRDefault="003B16E4" w:rsidP="00072564">
      <w:pPr>
        <w:jc w:val="both"/>
        <w:rPr>
          <w:b/>
          <w:bCs/>
        </w:rPr>
      </w:pPr>
      <w:r w:rsidRPr="003B57AD">
        <w:t>Todos los materiales escritos que responden a estas tres perspectivas de todas las</w:t>
      </w:r>
      <w:r>
        <w:t xml:space="preserve"> </w:t>
      </w:r>
      <w:r w:rsidRPr="003B57AD">
        <w:t>unidades de trabajo académico se encuentran plenamente identificadas con el título</w:t>
      </w:r>
      <w:r>
        <w:t xml:space="preserve"> </w:t>
      </w:r>
      <w:r w:rsidRPr="003B57AD">
        <w:t>de la unidad (su número y ciclo al cual pertenece), la bandera de créditos y la tabla de</w:t>
      </w:r>
      <w:r>
        <w:t xml:space="preserve"> </w:t>
      </w:r>
      <w:r w:rsidRPr="003B57AD">
        <w:t>contenido de dicho material para esa unidad.</w:t>
      </w:r>
    </w:p>
    <w:p w14:paraId="0ED5FDD5" w14:textId="77777777" w:rsidR="00D6252D" w:rsidRDefault="00D6252D" w:rsidP="00072564">
      <w:pPr>
        <w:jc w:val="both"/>
      </w:pPr>
    </w:p>
    <w:p w14:paraId="1BACF656" w14:textId="40441492" w:rsidR="003B16E4" w:rsidRDefault="003B16E4" w:rsidP="00072564">
      <w:pPr>
        <w:jc w:val="both"/>
        <w:rPr>
          <w:b/>
          <w:bCs/>
        </w:rPr>
      </w:pPr>
      <w:r w:rsidRPr="003B57AD">
        <w:t>En el tratamiento del problema que se hace en cada unidad, desde cada una de las</w:t>
      </w:r>
      <w:r>
        <w:t xml:space="preserve"> </w:t>
      </w:r>
      <w:r w:rsidRPr="003B57AD">
        <w:t>tres perspectivas, se pueden distinguir tres partes o momentos:</w:t>
      </w:r>
    </w:p>
    <w:p w14:paraId="55730547" w14:textId="77777777" w:rsidR="003B16E4" w:rsidRDefault="003B16E4" w:rsidP="00072564">
      <w:pPr>
        <w:jc w:val="both"/>
        <w:rPr>
          <w:b/>
          <w:bCs/>
        </w:rPr>
      </w:pPr>
    </w:p>
    <w:p w14:paraId="389E4BEF" w14:textId="77777777" w:rsidR="003B16E4" w:rsidRDefault="003B16E4" w:rsidP="00072564">
      <w:pPr>
        <w:jc w:val="both"/>
        <w:rPr>
          <w:b/>
          <w:bCs/>
        </w:rPr>
      </w:pPr>
      <w:r w:rsidRPr="0061301E">
        <w:rPr>
          <w:i/>
          <w:iCs/>
        </w:rPr>
        <w:t>RELATO INICIAL</w:t>
      </w:r>
      <w:r>
        <w:rPr>
          <w:i/>
          <w:iCs/>
        </w:rPr>
        <w:t xml:space="preserve">: </w:t>
      </w:r>
      <w:r w:rsidRPr="003B57AD">
        <w:t>Con el que se plantea el conjunto de problemas relacionados entre sí (o tópico</w:t>
      </w:r>
      <w:r>
        <w:t xml:space="preserve"> </w:t>
      </w:r>
      <w:r w:rsidRPr="003B57AD">
        <w:t>generador) que van a ser tratados. Se trata de una historia con la que inicia el proceso de</w:t>
      </w:r>
      <w:r>
        <w:t xml:space="preserve"> </w:t>
      </w:r>
      <w:r w:rsidRPr="003B57AD">
        <w:t>aprendizaje que se desarrollará en la unidad. En ella se aporta la información necesaria</w:t>
      </w:r>
      <w:r>
        <w:t xml:space="preserve"> </w:t>
      </w:r>
      <w:r w:rsidRPr="003B57AD">
        <w:t>para que se entiendan los problemas planteados y las razones por las cuales ellos se</w:t>
      </w:r>
      <w:r>
        <w:t xml:space="preserve"> </w:t>
      </w:r>
      <w:r w:rsidRPr="003B57AD">
        <w:t>relacionan entre sí. Por lo anterior, la narración con la que empieza cada unidad se</w:t>
      </w:r>
      <w:r>
        <w:t xml:space="preserve"> </w:t>
      </w:r>
      <w:r w:rsidRPr="003B57AD">
        <w:t>denomina “relato inicial”: relata una historia que establece las relaciones necesarias</w:t>
      </w:r>
      <w:r>
        <w:t xml:space="preserve"> </w:t>
      </w:r>
      <w:r w:rsidRPr="003B57AD">
        <w:t xml:space="preserve">para urdir un contexto que </w:t>
      </w:r>
      <w:proofErr w:type="gramStart"/>
      <w:r w:rsidRPr="003B57AD">
        <w:t>le</w:t>
      </w:r>
      <w:proofErr w:type="gramEnd"/>
      <w:r w:rsidRPr="003B57AD">
        <w:t xml:space="preserve"> da sentido a los problemas expuestos en ella y además da</w:t>
      </w:r>
      <w:r>
        <w:t xml:space="preserve"> </w:t>
      </w:r>
      <w:r w:rsidRPr="003B57AD">
        <w:t>inicio al proceso de enseñanza y de aprendizaje que el docente agenciará al orientar la</w:t>
      </w:r>
      <w:r>
        <w:t xml:space="preserve"> </w:t>
      </w:r>
      <w:r w:rsidRPr="003B57AD">
        <w:t>búsqueda de respuestas, de soluciones. Esta primera parte es el momento de la lectura</w:t>
      </w:r>
      <w:r>
        <w:t xml:space="preserve"> </w:t>
      </w:r>
      <w:r w:rsidRPr="003B57AD">
        <w:t>en grupo, de la búsqueda del sentido de los problemas, de las primeras reflexiones que</w:t>
      </w:r>
      <w:r>
        <w:t xml:space="preserve"> </w:t>
      </w:r>
      <w:r w:rsidRPr="003B57AD">
        <w:t>nos muestren posibles caminos para llegar a soluciones, a respuestas...</w:t>
      </w:r>
    </w:p>
    <w:p w14:paraId="2BD3F32E" w14:textId="77777777" w:rsidR="003B16E4" w:rsidRDefault="003B16E4" w:rsidP="00072564">
      <w:pPr>
        <w:jc w:val="both"/>
        <w:rPr>
          <w:b/>
          <w:bCs/>
        </w:rPr>
      </w:pPr>
    </w:p>
    <w:p w14:paraId="7D250000" w14:textId="77777777" w:rsidR="003B16E4" w:rsidRDefault="003B16E4" w:rsidP="00072564">
      <w:pPr>
        <w:jc w:val="both"/>
        <w:rPr>
          <w:b/>
          <w:bCs/>
        </w:rPr>
      </w:pPr>
      <w:r w:rsidRPr="00830C7D">
        <w:rPr>
          <w:i/>
          <w:iCs/>
        </w:rPr>
        <w:t>ANÁLISIS DEL PROBLEMA</w:t>
      </w:r>
      <w:r>
        <w:rPr>
          <w:i/>
          <w:iCs/>
        </w:rPr>
        <w:t xml:space="preserve">: </w:t>
      </w:r>
      <w:r w:rsidRPr="003B57AD">
        <w:t>Es precisamente la parte en la que el docente, sustentado en el modelo y apoyándose</w:t>
      </w:r>
      <w:r>
        <w:t xml:space="preserve"> </w:t>
      </w:r>
      <w:r w:rsidRPr="003B57AD">
        <w:t>en el manual de sugerencias pedagógicas generales, desarrolla el grueso de las</w:t>
      </w:r>
      <w:r>
        <w:t xml:space="preserve"> </w:t>
      </w:r>
      <w:r w:rsidRPr="003B57AD">
        <w:t>actividades ordenadas a resolver los problemas planteados. Es el momento del</w:t>
      </w:r>
      <w:r>
        <w:t xml:space="preserve"> </w:t>
      </w:r>
      <w:r w:rsidRPr="003B57AD">
        <w:t>análisis del problema: de la discusión, de la reflexión, de la puesta a prueba de las</w:t>
      </w:r>
      <w:r>
        <w:t xml:space="preserve"> </w:t>
      </w:r>
      <w:r w:rsidRPr="003B57AD">
        <w:t>hipótesis, de la búsqueda de información complementaria. Es el momento en el que</w:t>
      </w:r>
      <w:r>
        <w:t xml:space="preserve"> </w:t>
      </w:r>
      <w:r w:rsidRPr="003B57AD">
        <w:t xml:space="preserve">es </w:t>
      </w:r>
      <w:r w:rsidRPr="003B57AD">
        <w:lastRenderedPageBreak/>
        <w:t>indispensable situarse en las múltiples perspectivas desde las que el problema se</w:t>
      </w:r>
      <w:r>
        <w:t xml:space="preserve"> </w:t>
      </w:r>
      <w:r w:rsidRPr="003B57AD">
        <w:t>puede examinar, el momento en el que hay que desplegar los pros y los contras de</w:t>
      </w:r>
      <w:r>
        <w:t xml:space="preserve"> </w:t>
      </w:r>
      <w:r w:rsidRPr="003B57AD">
        <w:t>cada perspectiva: es pues el momento del argumento y el contra argumento.</w:t>
      </w:r>
    </w:p>
    <w:p w14:paraId="0F7E0D78" w14:textId="77777777" w:rsidR="003B16E4" w:rsidRDefault="003B16E4" w:rsidP="00072564">
      <w:pPr>
        <w:jc w:val="both"/>
        <w:rPr>
          <w:b/>
          <w:bCs/>
        </w:rPr>
      </w:pPr>
    </w:p>
    <w:p w14:paraId="71D765AB" w14:textId="77777777" w:rsidR="003B16E4" w:rsidRDefault="003B16E4" w:rsidP="00072564">
      <w:pPr>
        <w:jc w:val="both"/>
        <w:rPr>
          <w:b/>
          <w:bCs/>
        </w:rPr>
      </w:pPr>
      <w:r w:rsidRPr="00830C7D">
        <w:rPr>
          <w:i/>
          <w:iCs/>
        </w:rPr>
        <w:t>RELATO FINAL</w:t>
      </w:r>
      <w:r>
        <w:rPr>
          <w:i/>
          <w:iCs/>
        </w:rPr>
        <w:t xml:space="preserve">: </w:t>
      </w:r>
      <w:r w:rsidRPr="003B57AD">
        <w:t>Es la de las conclusiones. Todas las tareas realizadas en la segunda parte deben llevar</w:t>
      </w:r>
      <w:r>
        <w:t xml:space="preserve"> </w:t>
      </w:r>
      <w:r w:rsidRPr="003B57AD">
        <w:t>a respuestas, a explicaciones a soluciones... Es el momento de construir un relato final</w:t>
      </w:r>
      <w:r>
        <w:t xml:space="preserve"> </w:t>
      </w:r>
      <w:r w:rsidRPr="003B57AD">
        <w:t>en el que (y valga la redundancia) se relate un nuevo estado de cosas: en el que se</w:t>
      </w:r>
      <w:r>
        <w:t xml:space="preserve"> </w:t>
      </w:r>
      <w:r w:rsidRPr="003B57AD">
        <w:t>establezcan las nuevas relaciones que se pusieron en evidencia en la segunda parte,</w:t>
      </w:r>
      <w:r>
        <w:t xml:space="preserve"> </w:t>
      </w:r>
      <w:r w:rsidRPr="003B57AD">
        <w:t>en la que el relato inicial se complemente, se enriquezca con las respuestas a los</w:t>
      </w:r>
      <w:r>
        <w:t xml:space="preserve"> </w:t>
      </w:r>
      <w:r w:rsidRPr="003B57AD">
        <w:t>problemas planteados. Es el momento de la síntesis: el momento en el que todos los</w:t>
      </w:r>
      <w:r>
        <w:t xml:space="preserve"> </w:t>
      </w:r>
      <w:r w:rsidRPr="003B57AD">
        <w:t>elementos, las perspectivas, los detalles, los componentes que resultaron del análisis</w:t>
      </w:r>
      <w:r>
        <w:t xml:space="preserve"> </w:t>
      </w:r>
      <w:r w:rsidRPr="003B57AD">
        <w:t>se constituyan en un nuevo cuerpo de conocimiento integrado, unificado, holístico.</w:t>
      </w:r>
    </w:p>
    <w:p w14:paraId="6F645059" w14:textId="77777777" w:rsidR="003B16E4" w:rsidRDefault="003B16E4" w:rsidP="00072564">
      <w:pPr>
        <w:jc w:val="both"/>
        <w:rPr>
          <w:b/>
          <w:bCs/>
        </w:rPr>
      </w:pPr>
    </w:p>
    <w:p w14:paraId="766B50A7" w14:textId="77777777" w:rsidR="003B16E4" w:rsidRPr="00D6252D" w:rsidRDefault="003B16E4" w:rsidP="00072564">
      <w:pPr>
        <w:jc w:val="both"/>
        <w:rPr>
          <w:b/>
          <w:bCs/>
          <w:i/>
          <w:iCs/>
        </w:rPr>
      </w:pPr>
      <w:r w:rsidRPr="00D6252D">
        <w:rPr>
          <w:b/>
          <w:bCs/>
          <w:i/>
          <w:iCs/>
        </w:rPr>
        <w:t>La evaluación formativa del aprendizaje logrado por el estudiante</w:t>
      </w:r>
    </w:p>
    <w:p w14:paraId="0E020D48" w14:textId="77777777" w:rsidR="003B16E4" w:rsidRPr="003B57AD" w:rsidRDefault="003B16E4" w:rsidP="00072564">
      <w:pPr>
        <w:jc w:val="both"/>
        <w:rPr>
          <w:b/>
          <w:bCs/>
        </w:rPr>
      </w:pPr>
    </w:p>
    <w:p w14:paraId="7FC44B4F" w14:textId="77777777" w:rsidR="003B16E4" w:rsidRDefault="003B16E4" w:rsidP="00072564">
      <w:pPr>
        <w:jc w:val="both"/>
        <w:rPr>
          <w:b/>
          <w:bCs/>
        </w:rPr>
      </w:pPr>
      <w:r w:rsidRPr="003B57AD">
        <w:t>El desarrollo de las actividades académicas se planeó con el objetivo de que los</w:t>
      </w:r>
      <w:r>
        <w:t xml:space="preserve"> </w:t>
      </w:r>
      <w:r w:rsidRPr="003B57AD">
        <w:t>estudiantes aprendieran; con el objetivo de que adquirieran los conocimientos y</w:t>
      </w:r>
      <w:r>
        <w:t xml:space="preserve"> </w:t>
      </w:r>
      <w:r w:rsidRPr="003B57AD">
        <w:t>desarrollaran las competencias contempladas en los varios instrumentos con los</w:t>
      </w:r>
      <w:r>
        <w:t xml:space="preserve"> </w:t>
      </w:r>
      <w:r w:rsidRPr="003B57AD">
        <w:t xml:space="preserve">que el </w:t>
      </w:r>
      <w:r>
        <w:t>e</w:t>
      </w:r>
      <w:r w:rsidRPr="003B57AD">
        <w:t>stado colombiano cuenta para orientar el proceso educativo que siguen</w:t>
      </w:r>
      <w:r>
        <w:t xml:space="preserve"> </w:t>
      </w:r>
      <w:r w:rsidRPr="003B57AD">
        <w:t>sus ciudadanos (Lineamientos Curriculares, Estándares Básicos de Competencias,</w:t>
      </w:r>
      <w:r>
        <w:t xml:space="preserve"> </w:t>
      </w:r>
      <w:r w:rsidRPr="003B57AD">
        <w:t>Derechos Básicos de Aprendizaje...). Cada unidad cuenta entonces con una batería</w:t>
      </w:r>
      <w:r>
        <w:t xml:space="preserve"> </w:t>
      </w:r>
      <w:r w:rsidRPr="003B57AD">
        <w:t>de pruebas que ayudan a establecer si los estudiantes lograron o no aprender lo que</w:t>
      </w:r>
      <w:r>
        <w:t xml:space="preserve"> </w:t>
      </w:r>
      <w:r w:rsidRPr="003B57AD">
        <w:t>se esperaba que aprendieran. Estas pruebas se diseñaron desde una perspectiva</w:t>
      </w:r>
      <w:r>
        <w:t xml:space="preserve"> </w:t>
      </w:r>
      <w:r w:rsidRPr="003B57AD">
        <w:t>formativa: no se trata de establecer al final de un proceso qué se logró. Se trata de</w:t>
      </w:r>
      <w:r>
        <w:t xml:space="preserve"> </w:t>
      </w:r>
      <w:r w:rsidRPr="003B57AD">
        <w:t>coadyuvar con el proceso durante su desarrollo. Las pruebas nos pueden señalar qué</w:t>
      </w:r>
      <w:r>
        <w:t xml:space="preserve"> </w:t>
      </w:r>
      <w:r w:rsidRPr="003B57AD">
        <w:t>aprendizajes presentan deficiencias o están incompletos y pueden plantear entonces</w:t>
      </w:r>
      <w:r>
        <w:t xml:space="preserve"> </w:t>
      </w:r>
      <w:r w:rsidRPr="003B57AD">
        <w:t>problemas nuevos que podrán ser tratados con el fin de superar las deficiencias y de</w:t>
      </w:r>
      <w:r>
        <w:t xml:space="preserve"> </w:t>
      </w:r>
      <w:r w:rsidRPr="003B57AD">
        <w:t>completar lo incompleto.</w:t>
      </w:r>
    </w:p>
    <w:p w14:paraId="288A12D5" w14:textId="77777777" w:rsidR="003B16E4" w:rsidRPr="007845AA" w:rsidRDefault="003B16E4" w:rsidP="00072564">
      <w:pPr>
        <w:pStyle w:val="Ttulo2"/>
        <w:ind w:left="0" w:firstLine="0"/>
        <w:jc w:val="both"/>
        <w:rPr>
          <w:b w:val="0"/>
          <w:bCs w:val="0"/>
          <w:sz w:val="20"/>
          <w:szCs w:val="20"/>
        </w:rPr>
      </w:pPr>
    </w:p>
    <w:p w14:paraId="6C995EE9" w14:textId="77777777" w:rsidR="00F104F8" w:rsidRDefault="00F104F8" w:rsidP="00072564">
      <w:pPr>
        <w:jc w:val="both"/>
      </w:pPr>
    </w:p>
    <w:sectPr w:rsidR="00F104F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9F69D" w14:textId="77777777" w:rsidR="00FC7B9C" w:rsidRDefault="00FC7B9C" w:rsidP="00072564">
      <w:r>
        <w:separator/>
      </w:r>
    </w:p>
  </w:endnote>
  <w:endnote w:type="continuationSeparator" w:id="0">
    <w:p w14:paraId="0CEB3332" w14:textId="77777777" w:rsidR="00FC7B9C" w:rsidRDefault="00FC7B9C" w:rsidP="0007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9580A" w14:textId="77777777" w:rsidR="00FC7B9C" w:rsidRDefault="00FC7B9C" w:rsidP="00072564">
      <w:r>
        <w:separator/>
      </w:r>
    </w:p>
  </w:footnote>
  <w:footnote w:type="continuationSeparator" w:id="0">
    <w:p w14:paraId="71B04F0A" w14:textId="77777777" w:rsidR="00FC7B9C" w:rsidRDefault="00FC7B9C" w:rsidP="0007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jc w:val="center"/>
      <w:tblLook w:val="04A0" w:firstRow="1" w:lastRow="0" w:firstColumn="1" w:lastColumn="0" w:noHBand="0" w:noVBand="1"/>
    </w:tblPr>
    <w:tblGrid>
      <w:gridCol w:w="1985"/>
      <w:gridCol w:w="7371"/>
    </w:tblGrid>
    <w:tr w:rsidR="00072564" w:rsidRPr="00B42234" w14:paraId="65D0B6A8" w14:textId="77777777" w:rsidTr="00204414">
      <w:trPr>
        <w:trHeight w:val="824"/>
        <w:jc w:val="center"/>
      </w:trPr>
      <w:tc>
        <w:tcPr>
          <w:tcW w:w="1985" w:type="dxa"/>
        </w:tcPr>
        <w:p w14:paraId="139B61AE" w14:textId="77777777" w:rsidR="00072564" w:rsidRPr="0065369A" w:rsidRDefault="00072564" w:rsidP="00072564">
          <w:pPr>
            <w:pStyle w:val="Prrafodelista"/>
            <w:ind w:left="0"/>
            <w:jc w:val="center"/>
            <w:rPr>
              <w:noProof/>
              <w:sz w:val="10"/>
              <w:szCs w:val="10"/>
            </w:rPr>
          </w:pPr>
        </w:p>
        <w:p w14:paraId="4AFF0C61" w14:textId="77777777" w:rsidR="00072564" w:rsidRPr="00B42234" w:rsidRDefault="00072564" w:rsidP="00072564">
          <w:pPr>
            <w:pStyle w:val="Prrafodelista"/>
            <w:ind w:left="0"/>
            <w:jc w:val="center"/>
            <w:rPr>
              <w:rFonts w:cstheme="minorHAnsi"/>
              <w:b/>
              <w:bCs/>
              <w:sz w:val="24"/>
              <w:szCs w:val="24"/>
            </w:rPr>
          </w:pPr>
          <w:r w:rsidRPr="005C0A8B">
            <w:rPr>
              <w:noProof/>
            </w:rPr>
            <w:drawing>
              <wp:inline distT="0" distB="0" distL="0" distR="0" wp14:anchorId="12FC48C4" wp14:editId="738032BC">
                <wp:extent cx="1034732" cy="1001949"/>
                <wp:effectExtent l="0" t="0" r="0" b="8255"/>
                <wp:docPr id="1803561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61157"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1065151" cy="1031404"/>
                        </a:xfrm>
                        <a:prstGeom prst="rect">
                          <a:avLst/>
                        </a:prstGeom>
                      </pic:spPr>
                    </pic:pic>
                  </a:graphicData>
                </a:graphic>
              </wp:inline>
            </w:drawing>
          </w:r>
        </w:p>
      </w:tc>
      <w:tc>
        <w:tcPr>
          <w:tcW w:w="7371" w:type="dxa"/>
        </w:tcPr>
        <w:p w14:paraId="358AB99C" w14:textId="77777777" w:rsidR="00072564" w:rsidRDefault="00072564" w:rsidP="00072564">
          <w:pPr>
            <w:contextualSpacing/>
            <w:jc w:val="center"/>
            <w:rPr>
              <w:rFonts w:ascii="Old English Text MT" w:hAnsi="Old English Text MT"/>
              <w:b/>
              <w:bCs/>
              <w:color w:val="000000"/>
              <w:sz w:val="30"/>
              <w:szCs w:val="30"/>
            </w:rPr>
          </w:pPr>
          <w:r>
            <w:rPr>
              <w:rFonts w:ascii="Old English Text MT" w:hAnsi="Old English Text MT"/>
              <w:b/>
              <w:bCs/>
              <w:color w:val="000000"/>
              <w:sz w:val="30"/>
              <w:szCs w:val="30"/>
            </w:rPr>
            <w:t xml:space="preserve">Institución Educativa </w:t>
          </w:r>
        </w:p>
        <w:p w14:paraId="25FF5D61" w14:textId="77777777" w:rsidR="00072564" w:rsidRPr="000B06EB" w:rsidRDefault="00072564" w:rsidP="00072564">
          <w:pPr>
            <w:contextualSpacing/>
            <w:jc w:val="center"/>
            <w:rPr>
              <w:rFonts w:ascii="Arial Rounded MT Bold" w:hAnsi="Arial Rounded MT Bold"/>
              <w:b/>
              <w:color w:val="00B050"/>
            </w:rPr>
          </w:pPr>
          <w:r>
            <w:rPr>
              <w:rFonts w:ascii="Old English Text MT" w:hAnsi="Old English Text MT"/>
              <w:b/>
              <w:bCs/>
              <w:color w:val="00B050"/>
              <w:sz w:val="30"/>
              <w:szCs w:val="30"/>
            </w:rPr>
            <w:t>Instituto Agrícola Risaralda</w:t>
          </w:r>
          <w:r w:rsidRPr="009C7BE1">
            <w:rPr>
              <w:rFonts w:ascii="Arial Rounded MT Bold" w:hAnsi="Arial Rounded MT Bold"/>
              <w:b/>
              <w:color w:val="00B050"/>
            </w:rPr>
            <w:t xml:space="preserve"> </w:t>
          </w:r>
        </w:p>
        <w:p w14:paraId="50AE258F" w14:textId="77777777" w:rsidR="00072564" w:rsidRPr="00393585" w:rsidRDefault="00072564" w:rsidP="00072564">
          <w:pPr>
            <w:contextualSpacing/>
            <w:jc w:val="center"/>
            <w:rPr>
              <w:b/>
              <w:sz w:val="18"/>
              <w:szCs w:val="18"/>
            </w:rPr>
          </w:pPr>
          <w:r w:rsidRPr="009D76FF">
            <w:rPr>
              <w:b/>
              <w:sz w:val="18"/>
              <w:szCs w:val="18"/>
            </w:rPr>
            <w:t>M</w:t>
          </w:r>
          <w:r>
            <w:rPr>
              <w:b/>
              <w:sz w:val="18"/>
              <w:szCs w:val="18"/>
            </w:rPr>
            <w:t>UNICIPIO DE EL ZULIA</w:t>
          </w:r>
        </w:p>
        <w:p w14:paraId="43E3B830" w14:textId="77777777" w:rsidR="00072564" w:rsidRDefault="00072564" w:rsidP="00072564">
          <w:pPr>
            <w:ind w:right="-267" w:hanging="240"/>
            <w:contextualSpacing/>
            <w:jc w:val="center"/>
            <w:rPr>
              <w:b/>
              <w:sz w:val="18"/>
              <w:szCs w:val="18"/>
            </w:rPr>
          </w:pPr>
          <w:r>
            <w:rPr>
              <w:b/>
              <w:sz w:val="18"/>
              <w:szCs w:val="18"/>
            </w:rPr>
            <w:t xml:space="preserve">SECRETARIA DE EDUCACION DEPARTAMENTAL NORTE DE SANTANDER </w:t>
          </w:r>
        </w:p>
        <w:p w14:paraId="121DF018" w14:textId="77777777" w:rsidR="00072564" w:rsidRDefault="00072564" w:rsidP="00072564">
          <w:pPr>
            <w:spacing w:after="255"/>
            <w:contextualSpacing/>
            <w:jc w:val="center"/>
            <w:rPr>
              <w:b/>
              <w:bCs/>
              <w:sz w:val="18"/>
              <w:szCs w:val="18"/>
            </w:rPr>
          </w:pPr>
          <w:r w:rsidRPr="009D76FF">
            <w:rPr>
              <w:b/>
              <w:bCs/>
              <w:sz w:val="18"/>
              <w:szCs w:val="18"/>
            </w:rPr>
            <w:t xml:space="preserve">NIT. 807004097-1  </w:t>
          </w:r>
          <w:r>
            <w:rPr>
              <w:b/>
              <w:bCs/>
              <w:sz w:val="18"/>
              <w:szCs w:val="18"/>
            </w:rPr>
            <w:t xml:space="preserve">  </w:t>
          </w:r>
          <w:r w:rsidRPr="009D76FF">
            <w:rPr>
              <w:b/>
              <w:bCs/>
              <w:sz w:val="18"/>
              <w:szCs w:val="18"/>
            </w:rPr>
            <w:t>DANE 254261000476-01</w:t>
          </w:r>
        </w:p>
        <w:p w14:paraId="2190765A" w14:textId="77777777" w:rsidR="00072564" w:rsidRPr="009D76FF" w:rsidRDefault="00072564" w:rsidP="00072564">
          <w:pPr>
            <w:contextualSpacing/>
            <w:jc w:val="center"/>
            <w:rPr>
              <w:b/>
              <w:sz w:val="18"/>
              <w:szCs w:val="18"/>
            </w:rPr>
          </w:pPr>
          <w:r>
            <w:rPr>
              <w:b/>
              <w:bCs/>
              <w:sz w:val="18"/>
              <w:szCs w:val="18"/>
            </w:rPr>
            <w:t>Decreto de creación No. 000828 de 2002</w:t>
          </w:r>
        </w:p>
        <w:p w14:paraId="3E1925EC" w14:textId="77777777" w:rsidR="00072564" w:rsidRPr="00B42234" w:rsidRDefault="00072564" w:rsidP="00072564">
          <w:pPr>
            <w:pStyle w:val="Prrafodelista"/>
            <w:ind w:left="0"/>
            <w:jc w:val="center"/>
            <w:rPr>
              <w:rFonts w:cstheme="minorHAnsi"/>
              <w:b/>
              <w:bCs/>
              <w:sz w:val="24"/>
              <w:szCs w:val="24"/>
            </w:rPr>
          </w:pPr>
          <w:r w:rsidRPr="009D76FF">
            <w:rPr>
              <w:rFonts w:ascii="Arial" w:hAnsi="Arial" w:cs="Arial"/>
              <w:b/>
              <w:sz w:val="18"/>
              <w:szCs w:val="18"/>
            </w:rPr>
            <w:t>Resolución</w:t>
          </w:r>
          <w:r>
            <w:rPr>
              <w:rFonts w:ascii="Arial" w:hAnsi="Arial" w:cs="Arial"/>
              <w:b/>
              <w:sz w:val="18"/>
              <w:szCs w:val="18"/>
            </w:rPr>
            <w:t xml:space="preserve"> de aprobación No. 006775 </w:t>
          </w:r>
          <w:r w:rsidRPr="009D76FF">
            <w:rPr>
              <w:rFonts w:ascii="Arial" w:hAnsi="Arial" w:cs="Arial"/>
              <w:b/>
              <w:sz w:val="18"/>
              <w:szCs w:val="18"/>
            </w:rPr>
            <w:t>del</w:t>
          </w:r>
          <w:r>
            <w:rPr>
              <w:rFonts w:ascii="Arial" w:hAnsi="Arial" w:cs="Arial"/>
              <w:b/>
              <w:sz w:val="18"/>
              <w:szCs w:val="18"/>
            </w:rPr>
            <w:t xml:space="preserve"> 15 de noviembre 2022</w:t>
          </w:r>
        </w:p>
      </w:tc>
    </w:tr>
  </w:tbl>
  <w:p w14:paraId="4FF297AF" w14:textId="77777777" w:rsidR="00072564" w:rsidRDefault="000725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E4"/>
    <w:rsid w:val="00072564"/>
    <w:rsid w:val="001E7992"/>
    <w:rsid w:val="00295414"/>
    <w:rsid w:val="003B16E4"/>
    <w:rsid w:val="004F0BB5"/>
    <w:rsid w:val="00550E92"/>
    <w:rsid w:val="008C390D"/>
    <w:rsid w:val="00D6252D"/>
    <w:rsid w:val="00DF718E"/>
    <w:rsid w:val="00F104F8"/>
    <w:rsid w:val="00FC7B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A51"/>
  <w15:chartTrackingRefBased/>
  <w15:docId w15:val="{A5DC25C9-26E1-4EA3-A5EA-48DC8C25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E4"/>
    <w:pPr>
      <w:widowControl w:val="0"/>
      <w:autoSpaceDE w:val="0"/>
      <w:autoSpaceDN w:val="0"/>
      <w:spacing w:after="0" w:line="240" w:lineRule="auto"/>
    </w:pPr>
    <w:rPr>
      <w:rFonts w:ascii="Arial" w:eastAsia="Arial" w:hAnsi="Arial" w:cs="Arial"/>
      <w:kern w:val="0"/>
      <w:lang w:val="es-ES"/>
      <w14:ligatures w14:val="none"/>
    </w:rPr>
  </w:style>
  <w:style w:type="paragraph" w:styleId="Ttulo2">
    <w:name w:val="heading 2"/>
    <w:basedOn w:val="Normal"/>
    <w:link w:val="Ttulo2Car"/>
    <w:uiPriority w:val="9"/>
    <w:unhideWhenUsed/>
    <w:qFormat/>
    <w:rsid w:val="003B16E4"/>
    <w:pPr>
      <w:ind w:left="811" w:hanging="595"/>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16E4"/>
    <w:rPr>
      <w:rFonts w:ascii="Arial" w:eastAsia="Arial" w:hAnsi="Arial" w:cs="Arial"/>
      <w:b/>
      <w:bCs/>
      <w:kern w:val="0"/>
      <w:sz w:val="24"/>
      <w:szCs w:val="24"/>
      <w:lang w:val="es-ES"/>
      <w14:ligatures w14:val="none"/>
    </w:rPr>
  </w:style>
  <w:style w:type="paragraph" w:styleId="Encabezado">
    <w:name w:val="header"/>
    <w:basedOn w:val="Normal"/>
    <w:link w:val="EncabezadoCar"/>
    <w:uiPriority w:val="99"/>
    <w:unhideWhenUsed/>
    <w:rsid w:val="00072564"/>
    <w:pPr>
      <w:tabs>
        <w:tab w:val="center" w:pos="4419"/>
        <w:tab w:val="right" w:pos="8838"/>
      </w:tabs>
    </w:pPr>
  </w:style>
  <w:style w:type="character" w:customStyle="1" w:styleId="EncabezadoCar">
    <w:name w:val="Encabezado Car"/>
    <w:basedOn w:val="Fuentedeprrafopredeter"/>
    <w:link w:val="Encabezado"/>
    <w:uiPriority w:val="99"/>
    <w:rsid w:val="00072564"/>
    <w:rPr>
      <w:rFonts w:ascii="Arial" w:eastAsia="Arial" w:hAnsi="Arial" w:cs="Arial"/>
      <w:kern w:val="0"/>
      <w:lang w:val="es-ES"/>
      <w14:ligatures w14:val="none"/>
    </w:rPr>
  </w:style>
  <w:style w:type="paragraph" w:styleId="Piedepgina">
    <w:name w:val="footer"/>
    <w:basedOn w:val="Normal"/>
    <w:link w:val="PiedepginaCar"/>
    <w:uiPriority w:val="99"/>
    <w:unhideWhenUsed/>
    <w:rsid w:val="00072564"/>
    <w:pPr>
      <w:tabs>
        <w:tab w:val="center" w:pos="4419"/>
        <w:tab w:val="right" w:pos="8838"/>
      </w:tabs>
    </w:pPr>
  </w:style>
  <w:style w:type="character" w:customStyle="1" w:styleId="PiedepginaCar">
    <w:name w:val="Pie de página Car"/>
    <w:basedOn w:val="Fuentedeprrafopredeter"/>
    <w:link w:val="Piedepgina"/>
    <w:uiPriority w:val="99"/>
    <w:rsid w:val="00072564"/>
    <w:rPr>
      <w:rFonts w:ascii="Arial" w:eastAsia="Arial" w:hAnsi="Arial" w:cs="Arial"/>
      <w:kern w:val="0"/>
      <w:lang w:val="es-ES"/>
      <w14:ligatures w14:val="none"/>
    </w:rPr>
  </w:style>
  <w:style w:type="table" w:styleId="Tablaconcuadrcula">
    <w:name w:val="Table Grid"/>
    <w:basedOn w:val="Tablanormal"/>
    <w:rsid w:val="00072564"/>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2564"/>
    <w:pPr>
      <w:widowControl/>
      <w:autoSpaceDE/>
      <w:autoSpaceDN/>
      <w:spacing w:after="160" w:line="259" w:lineRule="auto"/>
      <w:ind w:left="720"/>
      <w:contextualSpacing/>
    </w:pPr>
    <w:rPr>
      <w:rFonts w:asciiTheme="minorHAnsi" w:eastAsiaTheme="minorHAnsi" w:hAnsiTheme="minorHAnsi" w:cstheme="minorBid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1530</Words>
  <Characters>8420</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c:creator>
  <cp:keywords/>
  <dc:description/>
  <cp:lastModifiedBy>Ronal</cp:lastModifiedBy>
  <cp:revision>6</cp:revision>
  <dcterms:created xsi:type="dcterms:W3CDTF">2024-10-16T17:43:00Z</dcterms:created>
  <dcterms:modified xsi:type="dcterms:W3CDTF">2024-10-17T13:19:00Z</dcterms:modified>
</cp:coreProperties>
</file>