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63B9B" w14:textId="23E75140" w:rsidR="0099799F" w:rsidRPr="00E558B7" w:rsidRDefault="00E558B7">
      <w:pPr>
        <w:rPr>
          <w:lang w:val="es-ES"/>
        </w:rPr>
      </w:pPr>
      <w:r>
        <w:rPr>
          <w:lang w:val="es-ES"/>
        </w:rPr>
        <w:t>ANALISIS DE LAS EVALUACIONES INTERNAS Y EXTERNAS 2023</w:t>
      </w:r>
    </w:p>
    <w:sectPr w:rsidR="0099799F" w:rsidRPr="00E558B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8B7"/>
    <w:rsid w:val="0099799F"/>
    <w:rsid w:val="00E5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5E7FC"/>
  <w15:chartTrackingRefBased/>
  <w15:docId w15:val="{73C9DFB8-7855-4647-BFF1-AA453D066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2024-04-03T15:30:00Z</dcterms:created>
  <dcterms:modified xsi:type="dcterms:W3CDTF">2024-04-03T15:32:00Z</dcterms:modified>
</cp:coreProperties>
</file>