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CENTRO EDUCATIVO RURAL JUANA BERBESI,</w:t>
      </w:r>
    </w:p>
    <w:p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MUNICIPIO DE DURANIA,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CREADO POR DECRETO 000339 DE AGOSTO 11 DE 2004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APROBACION DE </w:t>
      </w:r>
      <w:r>
        <w:rPr>
          <w:b/>
          <w:color w:val="000000"/>
          <w:sz w:val="28"/>
          <w:szCs w:val="28"/>
          <w:lang w:val="es-ES"/>
        </w:rPr>
        <w:t>ESTUDIOS</w:t>
      </w:r>
      <w:r>
        <w:rPr>
          <w:b/>
          <w:color w:val="000000"/>
          <w:sz w:val="28"/>
          <w:szCs w:val="28"/>
        </w:rPr>
        <w:t xml:space="preserve"> RES</w:t>
      </w:r>
      <w:r>
        <w:rPr>
          <w:rFonts w:hint="default"/>
          <w:b/>
          <w:color w:val="000000"/>
          <w:sz w:val="28"/>
          <w:szCs w:val="28"/>
          <w:lang w:val="es-ES"/>
        </w:rPr>
        <w:t>O</w:t>
      </w:r>
      <w:r>
        <w:rPr>
          <w:b/>
          <w:color w:val="000000"/>
          <w:sz w:val="28"/>
          <w:szCs w:val="28"/>
        </w:rPr>
        <w:t>LUCIÓN 2849 DE JULIO 23 DE 2018</w:t>
      </w:r>
    </w:p>
    <w:p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DANE Nº 254239000110</w:t>
      </w:r>
      <w:r>
        <w:rPr>
          <w:rFonts w:hint="default"/>
          <w:b/>
          <w:color w:val="000000"/>
          <w:sz w:val="28"/>
          <w:szCs w:val="28"/>
          <w:lang w:val="es-ES"/>
        </w:rPr>
        <w:t xml:space="preserve">   --   </w:t>
      </w:r>
      <w:r>
        <w:rPr>
          <w:b/>
          <w:color w:val="000000"/>
          <w:sz w:val="28"/>
          <w:szCs w:val="28"/>
        </w:rPr>
        <w:t>NIT N°. 900046802-3</w:t>
      </w:r>
      <w:r>
        <w:rPr>
          <w:b/>
          <w:sz w:val="28"/>
          <w:szCs w:val="28"/>
        </w:rPr>
        <w:t xml:space="preserve"> </w:t>
      </w:r>
    </w:p>
    <w:tbl>
      <w:tblPr>
        <w:tblStyle w:val="18"/>
        <w:tblpPr w:leftFromText="180" w:rightFromText="180" w:vertAnchor="text" w:horzAnchor="page" w:tblpX="2535" w:tblpY="2002"/>
        <w:tblOverlap w:val="never"/>
        <w:tblW w:w="12778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44"/>
        <w:gridCol w:w="2524"/>
        <w:gridCol w:w="1553"/>
        <w:gridCol w:w="1553"/>
        <w:gridCol w:w="15"/>
        <w:gridCol w:w="1843"/>
        <w:gridCol w:w="1843"/>
        <w:gridCol w:w="281"/>
        <w:gridCol w:w="1562"/>
        <w:gridCol w:w="16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760" w:hRule="atLeast"/>
        </w:trPr>
        <w:tc>
          <w:tcPr>
            <w:tcW w:w="5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Gestión Administrativa y financiera</w:t>
            </w:r>
          </w:p>
        </w:tc>
        <w:tc>
          <w:tcPr>
            <w:tcW w:w="55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LINEAMIENTOS PARA LA FORMULACIÓN DEL INFORME DE RENDICIÓN DE CUENTAS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780" w:hRule="atLeast"/>
        </w:trPr>
        <w:tc>
          <w:tcPr>
            <w:tcW w:w="1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Línea estratégica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INDICADOR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NUMERO/Fuente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 Qué se logró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Cómo se logró. 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Qué se proyecta a futuro en el establecimiento educativo.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Apoyo a la gestión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académica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Número de sedes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Mantener la cobertura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Brindando buen servicio educativo y cumplimiento de protocolos de bioseguridad.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CO"/>
              </w:rPr>
            </w:pPr>
            <w:r>
              <w:rPr>
                <w:color w:val="000000"/>
                <w:sz w:val="20"/>
                <w:szCs w:val="20"/>
              </w:rPr>
              <w:t> Mantener las 1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 xml:space="preserve">6 </w:t>
            </w:r>
            <w:r>
              <w:rPr>
                <w:color w:val="000000"/>
                <w:sz w:val="20"/>
                <w:szCs w:val="20"/>
              </w:rPr>
              <w:t xml:space="preserve">sedes educativas y realizar convenios con el hogar juvenil y alcaldía para 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proyectos transversales.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Matricula reportada SIMAT preescolar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35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Promoción de 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35 </w:t>
            </w:r>
            <w:r>
              <w:rPr>
                <w:color w:val="000000"/>
                <w:sz w:val="20"/>
                <w:szCs w:val="20"/>
              </w:rPr>
              <w:t>estudiantes a primaria.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 xml:space="preserve"> Mediante trabajo 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presencial.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Brindar un buen servicio 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educativo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Matricula reportada SIMAT primaria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hint="default"/>
                <w:color w:val="000000"/>
                <w:sz w:val="20"/>
                <w:szCs w:val="20"/>
                <w:lang w:val="es-CO"/>
              </w:rPr>
            </w:pP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103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Promoción de  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18 </w:t>
            </w:r>
            <w:r>
              <w:rPr>
                <w:color w:val="000000"/>
                <w:sz w:val="20"/>
                <w:szCs w:val="20"/>
              </w:rPr>
              <w:t xml:space="preserve"> estudiantes a secundaria básica  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 xml:space="preserve"> Mediante trabajo 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presencial.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Brindar un buen servicio 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educativo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Matricula reportada SIMAT secundaria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hint="default"/>
                <w:color w:val="000000"/>
                <w:sz w:val="20"/>
                <w:szCs w:val="20"/>
                <w:lang w:val="es-CO"/>
              </w:rPr>
            </w:pP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26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Promoción de 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3 </w:t>
            </w:r>
            <w:r>
              <w:rPr>
                <w:color w:val="000000"/>
                <w:sz w:val="20"/>
                <w:szCs w:val="20"/>
              </w:rPr>
              <w:t xml:space="preserve">estudiantes  a media </w:t>
            </w:r>
            <w:r>
              <w:rPr>
                <w:color w:val="000000"/>
                <w:sz w:val="20"/>
                <w:szCs w:val="20"/>
                <w:lang w:val="es-ES"/>
              </w:rPr>
              <w:t>técnica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Mediante trabajo 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de </w:t>
            </w:r>
            <w:r>
              <w:rPr>
                <w:color w:val="000000"/>
                <w:sz w:val="20"/>
                <w:szCs w:val="20"/>
              </w:rPr>
              <w:t>presencialidad.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Brindar un buen servicio académico y se promuevan para continuar en la media técnica en otros establecimientos.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Matricula reportada SIMAT educación media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matricula de educación para adultos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CLEI I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CLEI II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CLEI III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CLEI IV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CLEI V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CLEI VI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Administración de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la planta física y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de los recursos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Mantenimiento, adecuación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y embellecimiento de la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 xml:space="preserve">planta física,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hint="default"/>
                <w:color w:val="000000"/>
                <w:sz w:val="20"/>
                <w:szCs w:val="20"/>
                <w:lang w:val="es-CO"/>
              </w:rPr>
            </w:pP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5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Adecuación de 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5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sedes educativas.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Mediante proyectos de administración municipal, gobernación y secretaria de educación.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Mejoramiento de las plantas físicas para brindar un ambiente adecuado y seguro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seguimiento al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uso de los espacios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adquisición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y mantenimiento de los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recursos para el aprendizaje,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3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Adquisición de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 3</w:t>
            </w:r>
            <w:r>
              <w:rPr>
                <w:color w:val="000000"/>
                <w:sz w:val="20"/>
                <w:szCs w:val="20"/>
              </w:rPr>
              <w:t xml:space="preserve"> impresora.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Por medio de recursos de gratuidad.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Mejorar la atención a los estudiantes mediante la impresión de talleres y tareas.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suministros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1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Dotación de papelería, marcadores para tablero, resmas de papel, tinta marcadores e implementos de aseo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 para todas las sedes.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 medio de recursos de gratuidad.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Garantizar los recursos de aprendizaje y cumplimiento de protocol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o</w:t>
            </w:r>
            <w:r>
              <w:rPr>
                <w:color w:val="000000"/>
                <w:sz w:val="20"/>
                <w:szCs w:val="20"/>
              </w:rPr>
              <w:t>s de bioseguridad.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dotación y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mantenimiento de equipos,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CO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CO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s-CO"/>
              </w:rPr>
              <w:t>Adquisición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 xml:space="preserve"> de video Beam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Por medio de recursos de gratuidad.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CO"/>
              </w:rPr>
            </w:pPr>
            <w:r>
              <w:rPr>
                <w:color w:val="000000"/>
                <w:sz w:val="20"/>
                <w:szCs w:val="20"/>
              </w:rPr>
              <w:t> Garantizar los recursos de aprendizaje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seguridad y protección.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1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Concientizacion de la comunidad educativa 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 xml:space="preserve">en 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la prevencion y gestión del riesgo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Mediante l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a realización de simulacros semestralmente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Socializar, realizar y actualizar oportunamente  el plan de prevencion y gestión del  riesgo.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2600" w:hRule="atLeast"/>
        </w:trPr>
        <w:tc>
          <w:tcPr>
            <w:tcW w:w="14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Infraestructura 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 EE cuenta con inventario actualizado y reportado a la Secretaría de Educación.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1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Actualizar inventario en las  sedes educativas.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Mediante la revisión y actualización del inventario de cada sede educativa.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Depurar y actualizar el inventario del CER Juana Berbesi en la secretaria de educación.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aulas y espacios complementarios existentes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alumnos según  la capacidad instalada en las instituciones educativas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 estudiantes con aforo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Brindar ambientes escolares satisfactoriamente.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Disponibilidad de estudiantes  en el aula de clase.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Garantizar aulas adecuadas para la prestación de un buen servicio.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predios afectados por riesgo o seguridad (riesgos naturales, rondas remoción en masa, reserva forestal)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predios afectados por índice de vulnerabilidad sísmica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predios saneados con titularidad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CO"/>
              </w:rPr>
            </w:pPr>
            <w:r>
              <w:rPr>
                <w:color w:val="000000"/>
                <w:sz w:val="20"/>
                <w:szCs w:val="20"/>
              </w:rPr>
              <w:t> Sedes con escritura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Copias de escrituras en físico.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Legalización de  los predios de la totalidad de las sedes del CER Juana Berbesi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predios en proceso de legalización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CO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5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Gestión parar legalizar.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Por medio de la alcaldía municipal.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Saneamiento de los predios de cada sede.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predios en proceso de adquisición o compra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predios con colegios oficiales en lotes privados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predios con disponibilidad de agua y alcantarillado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CO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16</w:t>
            </w:r>
            <w:r>
              <w:rPr>
                <w:color w:val="000000"/>
                <w:sz w:val="20"/>
                <w:szCs w:val="20"/>
              </w:rPr>
              <w:t xml:space="preserve"> con servicio 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de agua.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Servicio constante de agua.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CO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Mantenimiento del servicio.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Mejorar el servicio de agua en todas las sedes.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Núm. de predios con disponibilidad de energía eléctrica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1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Servicio constante de la energía eléctrica.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Pago de facturas de las sedes educativas por parte de la administración municipal.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Garantizar el servicio educativo con los diferentes beneficios que nos ofrece la energía en la sede educativa.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predios con disponibilidad de gas.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predios con disponibilidad de telefonía voz y datos.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trámites en proceso de legalización o reconocimiento de propiedad.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Predios disponibles para construcción en Jornada Unica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sedes con jornada única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jornadas en cada sede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aulas por sede, requeridas para la jornada única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Inventario de los espacios complementarios para la jornada única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Capacidad instalada por aulas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actual de niños, niñas y jóvenes por aula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baterías sanitarias existentes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comedores escolares por IE y jornada única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lotes en proceso de adquisición para colegios con jornada única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predios presentados a las convocatorias de MEN de jornada única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sedes existentes y disponibilidad de área para construcción para jornada única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predios pendientes por postular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Infraestructura para la Educación Media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aulas, laboratorios y talleres especializados en las IE de media técnica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Deficiencias de infraestructura para educación media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aulas que requieren  para ampliar cobertura en educación media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s-ES"/>
              </w:rPr>
              <w:t>Accesibilidad</w:t>
            </w:r>
            <w:r>
              <w:rPr>
                <w:color w:val="000000"/>
                <w:sz w:val="20"/>
                <w:szCs w:val="20"/>
              </w:rPr>
              <w:t xml:space="preserve"> o cobertura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Total de aulas dotadas con laboratorios / Total de colegios con secundaria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Total de bibliotecas escolares / Total de IE oficiales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Alumnos con conectividad (Número de estudiantes matriculados en el sector oficial con acceso a Internet / Matrícula total del sector oficial) x 100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No aplica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Alumnos por computador: Número de estudiantes matriculados en el sector oficial / Número total de computadores disponibles para uso educativo en las IE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Cobertura asequibilidad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Total de docentes por niveles: transición,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Total de docentes por niveles: , primaria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1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Un buen servicio para el desarrollo integral de los estudiantes.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Contando con la presencia del docente en cada sede.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Ofrecer un adecuado servicio a los estudiantes.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Total de docentes por niveles: secundaria (incluye la media)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Un docente para atender post primaria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Mediante la asignación de carga académica.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Aumentar la cobertura.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 de docentes por niveles: incluye la media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CO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Cada sede tenga un docente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Asignación de carga </w:t>
            </w:r>
            <w:r>
              <w:rPr>
                <w:color w:val="000000"/>
                <w:sz w:val="20"/>
                <w:szCs w:val="20"/>
                <w:lang w:val="es-ES"/>
              </w:rPr>
              <w:t>académica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Aumentar cobertura.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 docentes en propiedad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1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3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Mediante nombramiento 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oficial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Que cada comunidad cuente con la permanencia de un docente.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Garantizar la planta de personal.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 docentes 1278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0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4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Cubrir la necesidad del servicio.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Mediante solicitud a la secretaria de educación.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Garantizar el servicio educativo.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 docentes 2277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1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3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Mediante nombramiento 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oficial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Que cada comunidad cuente con la permanencia de un docente.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Garantizar la planta de personal.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440" w:hRule="atLeast"/>
        </w:trPr>
        <w:tc>
          <w:tcPr>
            <w:tcW w:w="14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Estrategias de permanencia escolar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Tiene Politica de permanencia PAE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1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La permanencia de los estudiantes en las sedes.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Registro de matricula en el SIMAT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Garantizar el proceso educativo.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Núm. de beneficiarios del PAE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CO"/>
              </w:rPr>
            </w:pPr>
            <w:r>
              <w:rPr>
                <w:color w:val="000000"/>
                <w:sz w:val="20"/>
                <w:szCs w:val="20"/>
              </w:rPr>
              <w:t> 1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64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Brindar racion preparada en sitio a 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164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 estudiantes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Mediante 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 asignación de cupos mediante la </w:t>
            </w:r>
            <w:r>
              <w:rPr>
                <w:color w:val="000000"/>
                <w:sz w:val="20"/>
                <w:szCs w:val="20"/>
              </w:rPr>
              <w:t xml:space="preserve">matricula SIMAT 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Que el servicio 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PAE </w:t>
            </w:r>
            <w:r>
              <w:rPr>
                <w:color w:val="000000"/>
                <w:sz w:val="20"/>
                <w:szCs w:val="20"/>
              </w:rPr>
              <w:t>sea prestado para los estudiantes en la totalidad de la matricula existente.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Caracterización de la población atendida (% urbano, %rural, grupo étnico, grados cubiertos, población víctima de la violencia, edades)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100% rural en edades de 5 – 18 años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La permanencia de los estudiantes en el proceso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 educativo.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Mediante asignación del PAE según el SIMAT.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Cobertura total del servicio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 a la población educativa.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IE con comedores escolares y cocinas aptos para preparación y consumo de alimentos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16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Preparacion de racion en  cada sede educativa.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Mediante 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adecuación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 de cocinas, comedores y menaje de cada sede.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Garantizar la permanencia de los estudiantes en el CER.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119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Planes de mejoramiento de comedores escolares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hint="default"/>
                <w:color w:val="000000"/>
                <w:sz w:val="20"/>
                <w:szCs w:val="20"/>
                <w:lang w:val="es-CO"/>
              </w:rPr>
            </w:pP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3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CO"/>
              </w:rPr>
            </w:pPr>
            <w:r>
              <w:rPr>
                <w:color w:val="000000"/>
                <w:sz w:val="20"/>
                <w:szCs w:val="20"/>
              </w:rPr>
              <w:t xml:space="preserve"> Adecuación de 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restaurante </w:t>
            </w:r>
            <w:r>
              <w:rPr>
                <w:color w:val="000000"/>
                <w:sz w:val="20"/>
                <w:szCs w:val="20"/>
              </w:rPr>
              <w:t xml:space="preserve">para preparación de alimentos 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en sitio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CO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Con recursos de gratuidad.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Mejor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amiento de la </w:t>
            </w:r>
            <w:r>
              <w:rPr>
                <w:color w:val="000000"/>
                <w:sz w:val="20"/>
                <w:szCs w:val="20"/>
              </w:rPr>
              <w:t>totalidad de las sedes educativas.</w:t>
            </w:r>
          </w:p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Transporte escolar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Sede principal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Brindar el transporte escolar 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 xml:space="preserve">a la poblacion 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 de la sede principal.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Asignación del transporte por 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 xml:space="preserve">la </w:t>
            </w:r>
            <w:r>
              <w:rPr>
                <w:color w:val="000000"/>
                <w:sz w:val="20"/>
                <w:szCs w:val="20"/>
              </w:rPr>
              <w:t>administración municipal.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Brindar el transporte escolar a la población de la sede principal.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Número de rutas y estudiantes por rutas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Brindar el transporte escolar a 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9 estudiantes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  de la sede principal.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Asignación del transporte por 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 xml:space="preserve">la </w:t>
            </w:r>
            <w:r>
              <w:rPr>
                <w:color w:val="000000"/>
                <w:sz w:val="20"/>
                <w:szCs w:val="20"/>
              </w:rPr>
              <w:t>administración municipal.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Brindar el transporte escolar a la población de la sede principal.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Numero de beneficiarios transporte escolar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hint="default"/>
                <w:color w:val="000000"/>
                <w:sz w:val="20"/>
                <w:szCs w:val="20"/>
                <w:lang w:val="es-CO"/>
              </w:rPr>
            </w:pP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Brindar el transporte escolar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a 9 estudiantes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 de la sede principal.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Asignación del transporte por administración municipal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 xml:space="preserve"> Garantizar el transporte para los estudiantes 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del CER Juana Berbesi.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745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Útiles escolares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 1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64</w:t>
            </w:r>
            <w:r>
              <w:rPr>
                <w:color w:val="000000"/>
                <w:sz w:val="20"/>
                <w:szCs w:val="20"/>
              </w:rPr>
              <w:t xml:space="preserve"> kit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s escolares.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s-ES"/>
              </w:rPr>
              <w:t>Dotación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 a los estudiantes con  kits escolares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Reportando la matricula SIMAT a la administracion municipal.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Mantener la cobertura escolar del CER.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Vestuario escolar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 xml:space="preserve">  </w:t>
            </w: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 xml:space="preserve">164 </w:t>
            </w:r>
            <w:r>
              <w:rPr>
                <w:color w:val="000000"/>
                <w:sz w:val="20"/>
                <w:szCs w:val="20"/>
              </w:rPr>
              <w:t>Uniformes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  de educacion fisica.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s-ES"/>
              </w:rPr>
              <w:t>Dotación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 de uniformes de educacion fisica.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Reportando la matricula SIMAT a la administracion municipal.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Mantener la cobertura escolar del CER.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Subsidios condicionados a la asistencia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Familias en acción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Pago de subsidio a estudiantes vinculados.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 xml:space="preserve"> Por cumplimiento 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en el proceso escolar.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Los estudiantes reciban los recursos para suplir sus necesidades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 básicas.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Porcentaje de estudiantes con alimentación escolar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s-CO"/>
              </w:rPr>
              <w:t>100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Entrega de la racion preparada en cada sede.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Con matrícula SIMAT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Cobertura del servicio en la totalidad de los estudiantes matriculados.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30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Porcentaje de estudiantes con transporte escolar 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>100%</w:t>
            </w:r>
            <w:bookmarkStart w:id="0" w:name="_GoBack"/>
            <w:bookmarkEnd w:id="0"/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Transporte de los estudiantes de la sede principal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Asignación de recursos por la administración municipal.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hint="default"/>
                <w:color w:val="000000"/>
                <w:sz w:val="20"/>
                <w:szCs w:val="20"/>
                <w:lang w:val="es-ES"/>
              </w:rPr>
            </w:pPr>
            <w:r>
              <w:rPr>
                <w:color w:val="000000"/>
                <w:sz w:val="20"/>
                <w:szCs w:val="20"/>
              </w:rPr>
              <w:t xml:space="preserve"> Garantizar </w:t>
            </w:r>
            <w:r>
              <w:rPr>
                <w:rFonts w:hint="default"/>
                <w:color w:val="000000"/>
                <w:sz w:val="20"/>
                <w:szCs w:val="20"/>
                <w:lang w:val="es-ES"/>
              </w:rPr>
              <w:t xml:space="preserve"> la asistencia al servicio educativo.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1260" w:hRule="atLeast"/>
        </w:trPr>
        <w:tc>
          <w:tcPr>
            <w:tcW w:w="14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manejo Equitativo y Responsable de los Fondos de Servicios Educativos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Incorporación de recursos del según fuentes de financiación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126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Estado de ejecución por el tipo de asignación: prestación de servicio, cancelaciones y calidad (compromisos, obligaciones y pagos)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722" w:type="dxa"/>
          <w:trHeight w:val="960" w:hRule="atLeast"/>
        </w:trPr>
        <w:tc>
          <w:tcPr>
            <w:tcW w:w="14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Estado de ejecución por Proyecto pedagógico productivo:</w:t>
            </w:r>
          </w:p>
        </w:tc>
        <w:tc>
          <w:tcPr>
            <w:tcW w:w="1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0" w:hRule="atLeast"/>
        </w:trPr>
        <w:tc>
          <w:tcPr>
            <w:tcW w:w="1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Necesidades de asistencia técnica Establecimiento Educativo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Identificar requerimientos y necesidades de asistencia técnica que tenga el establecimiento educativo en temas Administrativos, académicos y comunitarios.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/>
    <w:p/>
    <w:sectPr>
      <w:headerReference r:id="rId5" w:type="default"/>
      <w:pgSz w:w="15840" w:h="12240"/>
      <w:pgMar w:top="720" w:right="720" w:bottom="720" w:left="72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76" w:lineRule="auto"/>
    </w:pPr>
  </w:p>
  <w:tbl>
    <w:tblPr>
      <w:tblStyle w:val="19"/>
      <w:tblW w:w="10799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1951"/>
      <w:gridCol w:w="6149"/>
      <w:gridCol w:w="1349"/>
      <w:gridCol w:w="1350"/>
    </w:tblGrid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15" w:type="dxa"/>
          <w:bottom w:w="0" w:type="dxa"/>
          <w:right w:w="115" w:type="dxa"/>
        </w:tblCellMar>
      </w:tblPrEx>
      <w:trPr>
        <w:trHeight w:val="502" w:hRule="atLeast"/>
        <w:jc w:val="center"/>
      </w:trPr>
      <w:tc>
        <w:tcPr>
          <w:tcW w:w="1951" w:type="dxa"/>
          <w:vMerge w:val="restart"/>
        </w:tcPr>
        <w:p>
          <w:pPr>
            <w:spacing w:line="360" w:lineRule="auto"/>
            <w:jc w:val="center"/>
            <w:rPr>
              <w:rFonts w:ascii="Arial" w:hAnsi="Arial" w:eastAsia="Arial" w:cs="Arial"/>
              <w:b/>
              <w:sz w:val="18"/>
              <w:szCs w:val="18"/>
            </w:rPr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40005</wp:posOffset>
                </wp:positionV>
                <wp:extent cx="1033780" cy="979170"/>
                <wp:effectExtent l="0" t="0" r="0" b="0"/>
                <wp:wrapNone/>
                <wp:docPr id="2" name="image1.png" descr="Educacio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ducacion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780" cy="979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49" w:type="dxa"/>
          <w:vAlign w:val="center"/>
        </w:tcPr>
        <w:p>
          <w:pPr>
            <w:jc w:val="center"/>
            <w:rPr>
              <w:rFonts w:ascii="Arial" w:hAnsi="Arial" w:eastAsia="Arial" w:cs="Arial"/>
              <w:b/>
              <w:sz w:val="18"/>
              <w:szCs w:val="18"/>
            </w:rPr>
          </w:pPr>
          <w:r>
            <w:rPr>
              <w:rFonts w:ascii="Arial" w:hAnsi="Arial" w:eastAsia="Arial" w:cs="Arial"/>
              <w:b/>
              <w:sz w:val="18"/>
              <w:szCs w:val="18"/>
            </w:rPr>
            <w:t>MACROPROCESO D. GESTION DE LA CALIDAD DEL SERVICIO EDUCATIVO EN EDUCACION PRE-ESCOLAR, BASICA Y MEDIA</w:t>
          </w:r>
        </w:p>
      </w:tc>
      <w:tc>
        <w:tcPr>
          <w:tcW w:w="2699" w:type="dxa"/>
          <w:gridSpan w:val="2"/>
          <w:vAlign w:val="center"/>
        </w:tcPr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eastAsia="Arial" w:cs="Arial"/>
              <w:b/>
              <w:color w:val="000000"/>
              <w:sz w:val="20"/>
              <w:szCs w:val="20"/>
            </w:rPr>
          </w:pPr>
          <w:r>
            <w:rPr>
              <w:rFonts w:ascii="Arial" w:hAnsi="Arial" w:eastAsia="Arial" w:cs="Arial"/>
              <w:b/>
              <w:color w:val="000000"/>
              <w:sz w:val="20"/>
              <w:szCs w:val="20"/>
            </w:rPr>
            <w:t>D01.02.F01</w:t>
          </w:r>
        </w:p>
      </w:tc>
    </w:tr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15" w:type="dxa"/>
          <w:bottom w:w="0" w:type="dxa"/>
          <w:right w:w="115" w:type="dxa"/>
        </w:tblCellMar>
      </w:tblPrEx>
      <w:trPr>
        <w:trHeight w:val="673" w:hRule="atLeast"/>
        <w:jc w:val="center"/>
      </w:trPr>
      <w:tc>
        <w:tcPr>
          <w:tcW w:w="1951" w:type="dxa"/>
          <w:vMerge w:val="continue"/>
        </w:tcPr>
        <w:p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after="0" w:line="276" w:lineRule="auto"/>
            <w:rPr>
              <w:rFonts w:ascii="Arial" w:hAnsi="Arial" w:eastAsia="Arial" w:cs="Arial"/>
              <w:b/>
              <w:color w:val="000000"/>
              <w:sz w:val="20"/>
              <w:szCs w:val="20"/>
            </w:rPr>
          </w:pPr>
        </w:p>
      </w:tc>
      <w:tc>
        <w:tcPr>
          <w:tcW w:w="6149" w:type="dxa"/>
          <w:vAlign w:val="center"/>
        </w:tcPr>
        <w:p>
          <w:pPr>
            <w:jc w:val="center"/>
            <w:rPr>
              <w:rFonts w:ascii="Arial" w:hAnsi="Arial" w:eastAsia="Arial" w:cs="Arial"/>
              <w:b/>
              <w:sz w:val="18"/>
              <w:szCs w:val="18"/>
            </w:rPr>
          </w:pPr>
          <w:r>
            <w:rPr>
              <w:rFonts w:ascii="Arial" w:hAnsi="Arial" w:eastAsia="Arial" w:cs="Arial"/>
              <w:b/>
              <w:sz w:val="18"/>
              <w:szCs w:val="18"/>
            </w:rPr>
            <w:t>PROCESO GESTIÓN DE LA EVALUACION EDUCATIVA</w:t>
          </w:r>
        </w:p>
      </w:tc>
      <w:tc>
        <w:tcPr>
          <w:tcW w:w="1349" w:type="dxa"/>
          <w:vAlign w:val="center"/>
        </w:tcPr>
        <w:p>
          <w:pPr>
            <w:jc w:val="center"/>
            <w:rPr>
              <w:rFonts w:ascii="Arial" w:hAnsi="Arial" w:eastAsia="Arial" w:cs="Arial"/>
              <w:b/>
              <w:sz w:val="20"/>
              <w:szCs w:val="20"/>
            </w:rPr>
          </w:pPr>
          <w:r>
            <w:rPr>
              <w:rFonts w:ascii="Arial" w:hAnsi="Arial" w:eastAsia="Arial" w:cs="Arial"/>
              <w:b/>
              <w:sz w:val="20"/>
              <w:szCs w:val="20"/>
            </w:rPr>
            <w:t>FECHA  30/08/2013</w:t>
          </w:r>
        </w:p>
      </w:tc>
      <w:tc>
        <w:tcPr>
          <w:tcW w:w="1350" w:type="dxa"/>
          <w:vAlign w:val="center"/>
        </w:tcPr>
        <w:p>
          <w:pPr>
            <w:jc w:val="center"/>
            <w:rPr>
              <w:rFonts w:ascii="Arial" w:hAnsi="Arial" w:eastAsia="Arial" w:cs="Arial"/>
              <w:b/>
              <w:sz w:val="20"/>
              <w:szCs w:val="20"/>
            </w:rPr>
          </w:pPr>
          <w:r>
            <w:rPr>
              <w:rFonts w:ascii="Arial" w:hAnsi="Arial" w:eastAsia="Arial" w:cs="Arial"/>
              <w:b/>
              <w:sz w:val="20"/>
              <w:szCs w:val="20"/>
            </w:rPr>
            <w:t>VERSION</w:t>
          </w:r>
        </w:p>
        <w:p>
          <w:pPr>
            <w:jc w:val="center"/>
            <w:rPr>
              <w:rFonts w:ascii="Arial" w:hAnsi="Arial" w:eastAsia="Arial" w:cs="Arial"/>
              <w:b/>
              <w:sz w:val="20"/>
              <w:szCs w:val="20"/>
            </w:rPr>
          </w:pPr>
          <w:r>
            <w:rPr>
              <w:rFonts w:ascii="Arial" w:hAnsi="Arial" w:eastAsia="Arial" w:cs="Arial"/>
              <w:b/>
              <w:sz w:val="20"/>
              <w:szCs w:val="20"/>
            </w:rPr>
            <w:t>2.0</w:t>
          </w:r>
        </w:p>
      </w:tc>
    </w:tr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15" w:type="dxa"/>
          <w:bottom w:w="0" w:type="dxa"/>
          <w:right w:w="115" w:type="dxa"/>
        </w:tblCellMar>
      </w:tblPrEx>
      <w:trPr>
        <w:trHeight w:val="681" w:hRule="atLeast"/>
        <w:jc w:val="center"/>
      </w:trPr>
      <w:tc>
        <w:tcPr>
          <w:tcW w:w="1951" w:type="dxa"/>
          <w:vMerge w:val="continue"/>
        </w:tcPr>
        <w:p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after="0" w:line="276" w:lineRule="auto"/>
            <w:rPr>
              <w:rFonts w:ascii="Arial" w:hAnsi="Arial" w:eastAsia="Arial" w:cs="Arial"/>
              <w:b/>
              <w:sz w:val="20"/>
              <w:szCs w:val="20"/>
            </w:rPr>
          </w:pPr>
        </w:p>
      </w:tc>
      <w:tc>
        <w:tcPr>
          <w:tcW w:w="6149" w:type="dxa"/>
          <w:vAlign w:val="center"/>
        </w:tcPr>
        <w:p>
          <w:pPr>
            <w:jc w:val="center"/>
            <w:rPr>
              <w:rFonts w:hint="default" w:ascii="Arial" w:hAnsi="Arial" w:eastAsia="Arial" w:cs="Arial"/>
              <w:b/>
              <w:sz w:val="18"/>
              <w:szCs w:val="18"/>
              <w:lang w:val="es-ES"/>
            </w:rPr>
          </w:pPr>
          <w:r>
            <w:rPr>
              <w:rFonts w:ascii="Arial" w:hAnsi="Arial" w:eastAsia="Arial" w:cs="Arial"/>
              <w:b/>
              <w:sz w:val="18"/>
              <w:szCs w:val="18"/>
            </w:rPr>
            <w:t>SUBPROCESO APLICACIÓN, ACTO DE RENDICIÓN DE CUENTAS 202</w:t>
          </w:r>
          <w:r>
            <w:rPr>
              <w:rFonts w:hint="default" w:ascii="Arial" w:hAnsi="Arial" w:eastAsia="Arial" w:cs="Arial"/>
              <w:b/>
              <w:sz w:val="18"/>
              <w:szCs w:val="18"/>
              <w:lang w:val="es-ES"/>
            </w:rPr>
            <w:t>3</w:t>
          </w:r>
        </w:p>
      </w:tc>
      <w:tc>
        <w:tcPr>
          <w:tcW w:w="2699" w:type="dxa"/>
          <w:gridSpan w:val="2"/>
          <w:vAlign w:val="bottom"/>
        </w:tcPr>
        <w:p>
          <w:pPr>
            <w:jc w:val="center"/>
            <w:rPr>
              <w:rFonts w:ascii="Arial" w:hAnsi="Arial" w:eastAsia="Arial" w:cs="Arial"/>
              <w:b/>
              <w:sz w:val="20"/>
              <w:szCs w:val="20"/>
            </w:rPr>
          </w:pPr>
          <w:r>
            <w:rPr>
              <w:rFonts w:ascii="Arial" w:hAnsi="Arial" w:eastAsia="Arial" w:cs="Arial"/>
              <w:b/>
              <w:sz w:val="20"/>
              <w:szCs w:val="20"/>
            </w:rPr>
            <w:t xml:space="preserve">Página </w:t>
          </w:r>
          <w:r>
            <w:rPr>
              <w:rFonts w:ascii="Arial" w:hAnsi="Arial" w:eastAsia="Arial" w:cs="Arial"/>
              <w:b/>
              <w:sz w:val="20"/>
              <w:szCs w:val="20"/>
            </w:rPr>
            <w:fldChar w:fldCharType="begin"/>
          </w:r>
          <w:r>
            <w:rPr>
              <w:rFonts w:ascii="Arial" w:hAnsi="Arial" w:eastAsia="Arial" w:cs="Arial"/>
              <w:b/>
              <w:sz w:val="20"/>
              <w:szCs w:val="20"/>
            </w:rPr>
            <w:instrText xml:space="preserve">PAGE</w:instrText>
          </w:r>
          <w:r>
            <w:rPr>
              <w:rFonts w:ascii="Arial" w:hAnsi="Arial" w:eastAsia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eastAsia="Arial" w:cs="Arial"/>
              <w:b/>
              <w:sz w:val="20"/>
              <w:szCs w:val="20"/>
            </w:rPr>
            <w:t>1</w:t>
          </w:r>
          <w:r>
            <w:rPr>
              <w:rFonts w:ascii="Arial" w:hAnsi="Arial" w:eastAsia="Arial" w:cs="Arial"/>
              <w:b/>
              <w:sz w:val="20"/>
              <w:szCs w:val="20"/>
            </w:rPr>
            <w:fldChar w:fldCharType="end"/>
          </w:r>
          <w:r>
            <w:rPr>
              <w:rFonts w:ascii="Arial" w:hAnsi="Arial" w:eastAsia="Arial" w:cs="Arial"/>
              <w:b/>
              <w:sz w:val="20"/>
              <w:szCs w:val="20"/>
            </w:rPr>
            <w:t xml:space="preserve"> de 2</w:t>
          </w:r>
        </w:p>
        <w:p>
          <w:pPr>
            <w:jc w:val="center"/>
            <w:rPr>
              <w:rFonts w:ascii="Arial" w:hAnsi="Arial" w:eastAsia="Arial" w:cs="Arial"/>
              <w:b/>
              <w:sz w:val="20"/>
              <w:szCs w:val="20"/>
            </w:rPr>
          </w:pPr>
        </w:p>
      </w:tc>
    </w:tr>
  </w:tbl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DF"/>
    <w:rsid w:val="0005608C"/>
    <w:rsid w:val="001854F4"/>
    <w:rsid w:val="001D5B68"/>
    <w:rsid w:val="002B5108"/>
    <w:rsid w:val="004164DF"/>
    <w:rsid w:val="00501682"/>
    <w:rsid w:val="005E30A1"/>
    <w:rsid w:val="005E54D2"/>
    <w:rsid w:val="0072489E"/>
    <w:rsid w:val="00766309"/>
    <w:rsid w:val="007940BB"/>
    <w:rsid w:val="008877EA"/>
    <w:rsid w:val="00A119CA"/>
    <w:rsid w:val="00B43C67"/>
    <w:rsid w:val="00B6201E"/>
    <w:rsid w:val="00C12FAB"/>
    <w:rsid w:val="00CA15E4"/>
    <w:rsid w:val="00CD70EF"/>
    <w:rsid w:val="00D41D20"/>
    <w:rsid w:val="00E31F03"/>
    <w:rsid w:val="00EB0C48"/>
    <w:rsid w:val="00F6217B"/>
    <w:rsid w:val="0BFB6707"/>
    <w:rsid w:val="774A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s-CO" w:eastAsia="es-CO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link w:val="15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1">
    <w:name w:val="footer"/>
    <w:basedOn w:val="1"/>
    <w:link w:val="16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4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Encabezado Car"/>
    <w:basedOn w:val="8"/>
    <w:link w:val="10"/>
    <w:qFormat/>
    <w:uiPriority w:val="99"/>
  </w:style>
  <w:style w:type="character" w:customStyle="1" w:styleId="16">
    <w:name w:val="Pie de página Car"/>
    <w:basedOn w:val="8"/>
    <w:link w:val="11"/>
    <w:qFormat/>
    <w:uiPriority w:val="99"/>
  </w:style>
  <w:style w:type="paragraph" w:styleId="17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table" w:customStyle="1" w:styleId="18">
    <w:name w:val="_Style 17"/>
    <w:basedOn w:val="14"/>
    <w:uiPriority w:val="0"/>
    <w:tblPr>
      <w:tblCellMar>
        <w:left w:w="70" w:type="dxa"/>
        <w:right w:w="70" w:type="dxa"/>
      </w:tblCellMar>
    </w:tblPr>
  </w:style>
  <w:style w:type="table" w:customStyle="1" w:styleId="19">
    <w:name w:val="_Style 18"/>
    <w:basedOn w:val="14"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1750</Words>
  <Characters>9627</Characters>
  <Lines>80</Lines>
  <Paragraphs>22</Paragraphs>
  <TotalTime>44</TotalTime>
  <ScaleCrop>false</ScaleCrop>
  <LinksUpToDate>false</LinksUpToDate>
  <CharactersWithSpaces>11355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2022-03-06T12:34:00Z</dcterms:created>
  <dc:creator>MAURICIO BALLESTEROS ALBA</dc:creator>
  <cp:lastModifiedBy>HP</cp:lastModifiedBy>
  <dcterms:modified xsi:type="dcterms:W3CDTF">2024-02-16T15:54:22Z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3082-12.2.0.13431</vt:lpwstr>
  </property>
  <property fmtid="{D5CDD505-2E9C-101B-9397-08002B2CF9AE}" pid="3" name="ICV">
    <vt:lpwstr>C42F17F470374099969DDDCF6C85AD51_12</vt:lpwstr>
  </property>
</Properties>
</file>